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97604C4" Type="http://schemas.openxmlformats.org/officeDocument/2006/relationships/officeDocument" Target="/word/document.xml" /><Relationship Id="coreR97604C4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r>
        <w:rPr>
          <w:lang w:val="pl-PL" w:bidi="pl-PL" w:eastAsia="pl-PL"/>
        </w:rPr>
        <w:t xml:space="preserve"> </w:t>
      </w:r>
    </w:p>
    <w:p>
      <w:pPr>
        <w:jc w:val="center"/>
        <w:rPr>
          <w:sz w:val="22"/>
        </w:rPr>
      </w:pPr>
      <w:r>
        <w:rPr>
          <w:b w:val="1"/>
          <w:sz w:val="22"/>
        </w:rPr>
        <w:t>Uzasadnienie</w:t>
      </w:r>
    </w:p>
    <w:p>
      <w:pPr>
        <w:ind w:firstLine="720"/>
        <w:jc w:val="both"/>
        <w:rPr>
          <w:rFonts w:ascii="Verdana" w:hAnsi="Verdana"/>
          <w:color w:val="000000"/>
          <w:shd w:val="clear" w:color="auto" w:fill="FFFFFF"/>
        </w:rPr>
      </w:pPr>
      <w:r>
        <w:rPr>
          <w:rFonts w:ascii="Verdana" w:hAnsi="Verdana"/>
          <w:color w:val="000000"/>
          <w:shd w:val="clear" w:color="auto" w:fill="FFFFFF"/>
          <w:lang w:val="en-US" w:bidi="en-US" w:eastAsia="en-US"/>
        </w:rPr>
        <w:t xml:space="preserve">W dniu </w:t>
      </w:r>
      <w:r>
        <w:rPr>
          <w:rFonts w:ascii="Verdana" w:hAnsi="Verdana"/>
          <w:color w:val="000000"/>
          <w:shd w:val="clear" w:color="auto" w:fill="FFFFFF"/>
        </w:rPr>
        <w:t>9 stycznia 2025</w:t>
      </w:r>
      <w:r>
        <w:rPr>
          <w:rFonts w:ascii="Verdana" w:hAnsi="Verdana"/>
          <w:color w:val="000000"/>
          <w:shd w:val="clear" w:color="auto" w:fill="FFFFFF"/>
          <w:lang w:val="en-US" w:bidi="en-US" w:eastAsia="en-US"/>
        </w:rPr>
        <w:t xml:space="preserve"> r. do Rady </w:t>
      </w:r>
      <w:r>
        <w:rPr>
          <w:rFonts w:ascii="Verdana" w:hAnsi="Verdana"/>
          <w:color w:val="000000"/>
          <w:shd w:val="clear" w:color="auto" w:fill="FFFFFF"/>
        </w:rPr>
        <w:t>Gminy Duszniki drogą elektroniczną wpłynęła</w:t>
      </w:r>
      <w:r>
        <w:rPr>
          <w:rFonts w:ascii="Verdana" w:hAnsi="Verdana"/>
          <w:color w:val="000000"/>
          <w:shd w:val="clear" w:color="auto" w:fill="FFFFFF"/>
          <w:lang w:val="en-US" w:bidi="en-US" w:eastAsia="en-US"/>
        </w:rPr>
        <w:t xml:space="preserve"> petycja Urz</w:t>
      </w:r>
      <w:r>
        <w:rPr>
          <w:rFonts w:ascii="Verdana" w:hAnsi="Verdana"/>
          <w:color w:val="000000"/>
          <w:shd w:val="clear" w:color="auto" w:fill="FFFFFF"/>
        </w:rPr>
        <w:t>ę</w:t>
      </w:r>
      <w:r>
        <w:rPr>
          <w:rFonts w:ascii="Verdana" w:hAnsi="Verdana"/>
          <w:color w:val="000000"/>
          <w:shd w:val="clear" w:color="auto" w:fill="FFFFFF"/>
          <w:lang w:val="en-US" w:bidi="en-US" w:eastAsia="en-US"/>
        </w:rPr>
        <w:t>d</w:t>
      </w:r>
      <w:r>
        <w:rPr>
          <w:rFonts w:ascii="Verdana" w:hAnsi="Verdana"/>
          <w:color w:val="000000"/>
          <w:shd w:val="clear" w:color="auto" w:fill="FFFFFF"/>
        </w:rPr>
        <w:t>u</w:t>
      </w:r>
      <w:r>
        <w:rPr>
          <w:rFonts w:ascii="Verdana" w:hAnsi="Verdana"/>
          <w:color w:val="000000"/>
          <w:shd w:val="clear" w:color="auto" w:fill="FFFFFF"/>
          <w:lang w:val="en-US" w:bidi="en-US" w:eastAsia="en-US"/>
        </w:rPr>
        <w:t xml:space="preserve"> Cywilnej i Demokratycznej Kontroli dotycz</w:t>
      </w:r>
      <w:r>
        <w:rPr>
          <w:rFonts w:ascii="Verdana" w:hAnsi="Verdana"/>
          <w:color w:val="000000"/>
          <w:shd w:val="clear" w:color="auto" w:fill="FFFFFF"/>
        </w:rPr>
        <w:t>ąca</w:t>
      </w:r>
      <w:r>
        <w:rPr>
          <w:rFonts w:ascii="Verdana" w:hAnsi="Verdana"/>
          <w:color w:val="000000"/>
          <w:shd w:val="clear" w:color="auto" w:fill="FFFFFF"/>
          <w:lang w:val="en-US" w:bidi="en-US" w:eastAsia="en-US"/>
        </w:rPr>
        <w:t xml:space="preserve"> </w:t>
      </w:r>
      <w:r>
        <w:rPr>
          <w:rFonts w:ascii="Verdana" w:hAnsi="Verdana"/>
          <w:color w:val="000000"/>
          <w:shd w:val="clear" w:color="auto" w:fill="FFFFFF"/>
        </w:rPr>
        <w:t>udzielenia pomocy w likwidacji trwającego systemu komunistycznego, zarządzanego przez nielegalnie działające organizacje partyjne i sędziowskie oraz o podjęcie współpracy z Urzędem Cywilnej i Demokratycznej Kontroli (dalej UCiDK), w celu wprowadzenia ładu konstytucyjnego, tak aby Naród Polski mógł sprawować władzę bezpośrednio zgodnie z art. 4 KRP. Załącznikami do petycji są dwa dokumenty: "Pełnomocnictwo dla Pełnomocnika Narodu Polskiego i oświadczenia" oraz "Oświadczenie kandydata na założyciela UCIDK".</w:t>
      </w:r>
    </w:p>
    <w:p>
      <w:pPr>
        <w:ind w:firstLine="720"/>
        <w:jc w:val="both"/>
        <w:rPr>
          <w:rFonts w:ascii="Verdana" w:hAnsi="Verdana"/>
          <w:color w:val="000000"/>
          <w:shd w:val="clear" w:color="auto" w:fill="FFFFFF"/>
        </w:rPr>
      </w:pPr>
      <w:r>
        <w:rPr>
          <w:rFonts w:ascii="Verdana" w:hAnsi="Verdana"/>
          <w:color w:val="000000"/>
          <w:shd w:val="clear" w:color="auto" w:fill="FFFFFF"/>
        </w:rPr>
        <w:t xml:space="preserve">Podmiot wnoszący petycję podkreślił konieczność natychmiastowej likwidacji - w jego ocenie -  nielegalnie działających organizacji partyjnych i sędziowskich. Przedstawił również m.in. obietnicę dbania o gminy, które podejmą współpracę z UCiDK wskazując jednocześnie, że przewiduje, że pierwsze gminy, które odpowiedzą na przedmiotową petycję i pomogą w zmianie systemu, przejdą do historii, będą miały z tego tytułu wiele dodatkowych korzyści finansowych oraz zakończą się ich dotychczasowe ograniczenia w podejmowaniu i wdrażaniu przedsięwzięć gospodarczych.</w:t>
      </w:r>
    </w:p>
    <w:p>
      <w:pPr>
        <w:ind w:firstLine="720"/>
        <w:jc w:val="both"/>
        <w:rPr>
          <w:rFonts w:ascii="Verdana" w:hAnsi="Verdana"/>
          <w:color w:val="000000"/>
          <w:shd w:val="clear" w:color="auto" w:fill="FFFFFF"/>
        </w:rPr>
      </w:pPr>
      <w:r>
        <w:rPr>
          <w:rFonts w:ascii="Verdana" w:hAnsi="Verdana"/>
          <w:color w:val="000000"/>
          <w:shd w:val="clear" w:color="auto" w:fill="FFFFFF"/>
        </w:rPr>
        <w:t xml:space="preserve">Nadmieniono również o środkach finansowych, które miałyby być przekazywane gminom w formie darowizny oraz sposób pozyskiwania tych środków, zasady naliczania darowizn i ich wpłacania. </w:t>
      </w:r>
    </w:p>
    <w:p>
      <w:pPr>
        <w:ind w:firstLine="720"/>
        <w:jc w:val="both"/>
        <w:rPr>
          <w:rFonts w:ascii="Verdana" w:hAnsi="Verdana"/>
          <w:color w:val="000000"/>
          <w:shd w:val="clear" w:color="auto" w:fill="FFFFFF"/>
        </w:rPr>
      </w:pPr>
      <w:r>
        <w:rPr>
          <w:rFonts w:ascii="Verdana" w:hAnsi="Verdana"/>
          <w:color w:val="000000"/>
          <w:shd w:val="clear" w:color="auto" w:fill="FFFFFF"/>
        </w:rPr>
        <w:t>W złożonej petycji wskazano również konsekwencje dla gmin, które nie zrezygnują z dalszego udziału w komunistycznym systemie partyjno-sędziowskim.</w:t>
      </w:r>
    </w:p>
    <w:p>
      <w:pPr>
        <w:ind w:firstLine="720"/>
        <w:jc w:val="both"/>
        <w:rPr>
          <w:rFonts w:ascii="Verdana" w:hAnsi="Verdana"/>
          <w:color w:val="000000"/>
          <w:shd w:val="clear" w:color="auto" w:fill="FFFFFF"/>
        </w:rPr>
      </w:pPr>
      <w:r>
        <w:rPr>
          <w:rFonts w:ascii="Verdana" w:hAnsi="Verdana"/>
          <w:color w:val="000000"/>
          <w:shd w:val="clear" w:color="auto" w:fill="FFFFFF"/>
        </w:rPr>
        <w:t xml:space="preserve">Petycja była przedmiotem prac Komisji Skarg, Wniosków i Petycji Rady Gminy Duszniki, która po analizie treści petycji na swoim posiedzeniu w dniu 10 lutego 2025 r. stwierdziła, że postulaty zawarte w petycji UCiDK nie zasługują na uwzględnienie, a ponadto nie mieszczą się w zakresie zadań i kompetencji Rady Gminy Duszniki.  Wobec powyższego Komisja zarekomendowała uznanie petycji za bezzasadną. </w:t>
      </w:r>
    </w:p>
    <w:p>
      <w:pPr>
        <w:ind w:firstLine="720"/>
        <w:jc w:val="both"/>
        <w:rPr>
          <w:rFonts w:ascii="Verdana" w:hAnsi="Verdana"/>
          <w:color w:val="000000"/>
          <w:shd w:val="clear" w:color="auto" w:fill="FFFFFF"/>
        </w:rPr>
      </w:pPr>
      <w:r>
        <w:rPr>
          <w:rFonts w:ascii="Verdana" w:hAnsi="Verdana"/>
          <w:color w:val="000000"/>
          <w:shd w:val="clear" w:color="auto" w:fill="FFFFFF"/>
        </w:rPr>
        <w:t xml:space="preserve">Rada Gminy Duszniki zauważa, że zmiana systemu zarządzania państwem nie leży w jej kompetencjach. Zgodnie z art. 7 Konstytucji Rzeczypospolitej Polskiej z dnia 2 kwietnia 1997 r. "organy władzy publicznej działają na podstawie i w granicach prawa". Jeżeli organ administracji publicznej podejmuje działania w sprawie, co do której przepis prawa nie wskazuje jego właściwości, działanie takie stanowi naruszenie konstytucyjnej zasady legalności. Rada, jako organ stanowiący gminy zobowiązana jest do działania na podstawie i w granicach prawa. </w:t>
      </w:r>
    </w:p>
    <w:p>
      <w:pPr>
        <w:jc w:val="both"/>
        <w:rPr>
          <w:rFonts w:ascii="Verdana" w:hAnsi="Verdana"/>
          <w:color w:val="000000"/>
          <w:shd w:val="clear" w:color="auto" w:fill="FFFFFF"/>
        </w:rPr>
      </w:pPr>
      <w:r>
        <w:rPr>
          <w:rFonts w:ascii="Verdana" w:hAnsi="Verdana"/>
          <w:color w:val="000000"/>
          <w:shd w:val="clear" w:color="auto" w:fill="FFFFFF"/>
        </w:rPr>
        <w:t>Zgodnie z art. 6 ust. 1 ustawy z dnia 8 marca 1990 r. o samorządzie gminnym, do zakresu działania gminy należą wszystkie sprawy publiczne o znaczeniu lokalnym, niezastrzeżone ustawami na rzecz innych podmiotów. Ponadto art. 18 ust. 1 ww. ustawy stanowi, że do właściwości rady należą wszystkie sprawy pozostające w zakresie działania gminy, o ile ustawy nie stanowią inaczej. Niedopuszczalna jest zatem wykładnia rozszerzająca ww. przepis.</w:t>
      </w:r>
    </w:p>
    <w:p>
      <w:pPr>
        <w:jc w:val="both"/>
        <w:rPr>
          <w:rFonts w:ascii="Verdana" w:hAnsi="Verdana"/>
          <w:color w:val="000000"/>
          <w:shd w:val="clear" w:color="auto" w:fill="FFFFFF"/>
        </w:rPr>
      </w:pPr>
      <w:r>
        <w:rPr>
          <w:rFonts w:ascii="Verdana" w:hAnsi="Verdana"/>
          <w:color w:val="000000"/>
          <w:shd w:val="clear" w:color="auto" w:fill="FFFFFF"/>
        </w:rPr>
        <w:t xml:space="preserve">Współpraca Rady, o którą wnosi podmiot składający petycję, wykraczałaby poza katalog kompetencji organu stanowiącego. Sprawy ogólnokrajowe, a do takich zalicza się kwestia porządku prawnego i zarządzanie Polską, nie należą do właściwości gminy i rady gminy. </w:t>
      </w:r>
    </w:p>
    <w:p>
      <w:pPr>
        <w:ind w:firstLine="720"/>
        <w:jc w:val="both"/>
        <w:rPr>
          <w:rFonts w:ascii="Verdana" w:hAnsi="Verdana"/>
          <w:color w:val="000000"/>
          <w:shd w:val="clear" w:color="auto" w:fill="FFFFFF"/>
          <w:lang w:val="en-US" w:bidi="en-US" w:eastAsia="en-US"/>
        </w:rPr>
      </w:pPr>
      <w:r>
        <w:rPr>
          <w:rFonts w:ascii="Verdana" w:hAnsi="Verdana"/>
          <w:color w:val="000000"/>
          <w:u w:val="none" w:color="000000"/>
          <w:shd w:val="clear" w:color="auto" w:fill="FFFFFF"/>
          <w:lang w:val="en-US" w:bidi="en-US" w:eastAsia="en-US"/>
        </w:rPr>
        <w:t xml:space="preserve">Wobec powyższego, mając na uwadze opinię Komisji Skarg, Wniosków i Petycji Rada Gminy Duszniki przychyla się do przedstawionego jej stanowiska </w:t>
      </w:r>
      <w:r>
        <w:rPr>
          <w:rFonts w:ascii="Verdana" w:hAnsi="Verdana"/>
          <w:color w:val="000000"/>
          <w:shd w:val="clear" w:color="auto" w:fill="FFFFFF"/>
        </w:rPr>
        <w:t xml:space="preserve">i uznaje petycję za bezzasadną </w:t>
      </w:r>
      <w:r>
        <w:rPr>
          <w:rFonts w:ascii="Verdana" w:hAnsi="Verdana"/>
          <w:color w:val="000000"/>
          <w:shd w:val="clear" w:color="auto" w:fill="FFFFFF"/>
          <w:lang w:val="en-US" w:bidi="en-US" w:eastAsia="en-US"/>
        </w:rPr>
        <w:t>z przyczyn określonych w uzasadnieniu.</w:t>
      </w:r>
    </w:p>
    <w:p/>
    <w:p/>
    <w:p/>
    <w:p/>
    <w:sectPr>
      <w:endnotePr>
        <w:numFmt w:val="decimal"/>
      </w:endnotePr>
      <w:type w:val="nextPage"/>
      <w:pgSz w:w="11906" w:h="16838" w:code="0"/>
      <w:pgMar w:left="1020" w:right="1020" w:top="1417" w:bottom="992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Verdana" w:hAnsi="Verdana"/>
        <w:b w:val="0"/>
        <w:i w:val="0"/>
        <w:caps w:val="0"/>
        <w:strike w:val="0"/>
        <w:noProof w:val="0"/>
        <w:vanish w:val="0"/>
        <w:color w:val="000000"/>
        <w:sz w:val="24"/>
        <w:u w:val="none"/>
        <w:shd w:val="clear" w:color="auto" w:fill="FFFFFF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/>
    <w:rPr>
      <w:rFonts w:ascii="Verdana" w:hAnsi="Verdana"/>
      <w:b w:val="0"/>
      <w:color w:val="000000"/>
      <w:sz w:val="24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Monika Młynarek</dc:creator>
  <dcterms:created xsi:type="dcterms:W3CDTF">2025-01-14T09:29:16Z</dcterms:created>
  <cp:lastModifiedBy>Monika Młynarek</cp:lastModifiedBy>
  <dcterms:modified xsi:type="dcterms:W3CDTF">2025-02-25T17:36:03Z</dcterms:modified>
  <cp:revision>19</cp:revision>
</cp:coreProperties>
</file>