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985C0" w14:textId="4DEAE766" w:rsidR="000A7B1F" w:rsidRPr="00D6249E" w:rsidRDefault="000A7B1F" w:rsidP="000A7B1F">
      <w:pPr>
        <w:spacing w:line="360" w:lineRule="auto"/>
        <w:jc w:val="center"/>
        <w:rPr>
          <w:b/>
          <w:bCs/>
          <w:sz w:val="28"/>
          <w:szCs w:val="28"/>
        </w:rPr>
      </w:pPr>
      <w:r w:rsidRPr="00D6249E">
        <w:rPr>
          <w:b/>
          <w:bCs/>
          <w:sz w:val="28"/>
          <w:szCs w:val="28"/>
        </w:rPr>
        <w:t>Zarządzenie Nr 96/2020</w:t>
      </w:r>
    </w:p>
    <w:p w14:paraId="1D8CECD8" w14:textId="18F6EA4D" w:rsidR="000A7B1F" w:rsidRPr="00D6249E" w:rsidRDefault="000A7B1F" w:rsidP="000A7B1F">
      <w:pPr>
        <w:spacing w:line="360" w:lineRule="auto"/>
        <w:jc w:val="center"/>
        <w:rPr>
          <w:b/>
          <w:bCs/>
          <w:sz w:val="28"/>
          <w:szCs w:val="28"/>
        </w:rPr>
      </w:pPr>
      <w:r w:rsidRPr="00D6249E">
        <w:rPr>
          <w:b/>
          <w:bCs/>
          <w:sz w:val="28"/>
          <w:szCs w:val="28"/>
        </w:rPr>
        <w:t>Wójta Gminy Duszniki</w:t>
      </w:r>
    </w:p>
    <w:p w14:paraId="4266E8FE" w14:textId="23420C04" w:rsidR="000A7B1F" w:rsidRPr="00D6249E" w:rsidRDefault="000A7B1F" w:rsidP="000A7B1F">
      <w:pPr>
        <w:spacing w:line="360" w:lineRule="auto"/>
        <w:jc w:val="center"/>
        <w:rPr>
          <w:b/>
          <w:bCs/>
          <w:sz w:val="28"/>
          <w:szCs w:val="28"/>
        </w:rPr>
      </w:pPr>
      <w:r w:rsidRPr="00D6249E">
        <w:rPr>
          <w:b/>
          <w:bCs/>
          <w:sz w:val="28"/>
          <w:szCs w:val="28"/>
        </w:rPr>
        <w:t>z dnia 16 listopada 2020 r.</w:t>
      </w:r>
    </w:p>
    <w:p w14:paraId="01053FE7" w14:textId="77777777" w:rsidR="000A7B1F" w:rsidRPr="00D6249E" w:rsidRDefault="000A7B1F" w:rsidP="000A7B1F">
      <w:pPr>
        <w:spacing w:line="360" w:lineRule="auto"/>
        <w:jc w:val="center"/>
        <w:rPr>
          <w:b/>
          <w:bCs/>
          <w:sz w:val="28"/>
          <w:szCs w:val="28"/>
        </w:rPr>
      </w:pPr>
    </w:p>
    <w:p w14:paraId="41713C69" w14:textId="77777777" w:rsidR="000A7B1F" w:rsidRPr="00D6249E" w:rsidRDefault="000A7B1F" w:rsidP="000A7B1F">
      <w:pPr>
        <w:pStyle w:val="Tekstpodstawowywcity"/>
        <w:spacing w:line="360" w:lineRule="auto"/>
        <w:rPr>
          <w:sz w:val="28"/>
          <w:szCs w:val="28"/>
        </w:rPr>
      </w:pPr>
    </w:p>
    <w:p w14:paraId="30276A87" w14:textId="7D55D524" w:rsidR="000A7B1F" w:rsidRPr="00D6249E" w:rsidRDefault="000A7B1F" w:rsidP="000A7B1F">
      <w:pPr>
        <w:pStyle w:val="Tekstpodstawowywcity"/>
        <w:spacing w:line="360" w:lineRule="auto"/>
        <w:rPr>
          <w:b/>
          <w:sz w:val="28"/>
          <w:szCs w:val="28"/>
        </w:rPr>
      </w:pPr>
      <w:r w:rsidRPr="00D6249E">
        <w:rPr>
          <w:b/>
          <w:sz w:val="28"/>
          <w:szCs w:val="28"/>
        </w:rPr>
        <w:t xml:space="preserve">w sprawie  ustalenia Wieloletniej Prognozy Finansowej Gminy </w:t>
      </w:r>
      <w:r w:rsidR="00D6249E">
        <w:rPr>
          <w:b/>
          <w:sz w:val="28"/>
          <w:szCs w:val="28"/>
        </w:rPr>
        <w:t>Duszniki</w:t>
      </w:r>
      <w:r w:rsidRPr="00D6249E">
        <w:rPr>
          <w:b/>
          <w:sz w:val="28"/>
          <w:szCs w:val="28"/>
        </w:rPr>
        <w:t xml:space="preserve"> na lata 202</w:t>
      </w:r>
      <w:r w:rsidR="00D6249E">
        <w:rPr>
          <w:b/>
          <w:sz w:val="28"/>
          <w:szCs w:val="28"/>
        </w:rPr>
        <w:t>1</w:t>
      </w:r>
      <w:r w:rsidRPr="00D6249E">
        <w:rPr>
          <w:b/>
          <w:sz w:val="28"/>
          <w:szCs w:val="28"/>
        </w:rPr>
        <w:t>-2029.</w:t>
      </w:r>
    </w:p>
    <w:p w14:paraId="732E8EF0" w14:textId="77777777" w:rsidR="000A7B1F" w:rsidRPr="00D6249E" w:rsidRDefault="000A7B1F" w:rsidP="000A7B1F">
      <w:pPr>
        <w:spacing w:line="360" w:lineRule="auto"/>
        <w:ind w:left="1260" w:hanging="1260"/>
        <w:jc w:val="both"/>
      </w:pPr>
    </w:p>
    <w:p w14:paraId="5C2E7B7B" w14:textId="4DEC92B7" w:rsidR="000A7B1F" w:rsidRPr="00D6249E" w:rsidRDefault="000A7B1F" w:rsidP="000A7B1F">
      <w:pPr>
        <w:pStyle w:val="Tekstpodstawowy"/>
        <w:spacing w:line="360" w:lineRule="auto"/>
      </w:pPr>
      <w:r w:rsidRPr="00D6249E">
        <w:tab/>
        <w:t>Na podstawie art. 30 ust 2 pkt. 1 ustawy z dnia 08 marca 1990r. o samorządzie gminnym (Dz. U. z 2020 r.  poz. 719 z późn.zm.), art. 230 ust 1 i 2 ustawy z dnia 27  sierpnia 2009r. o finansach publicznych (Dz. U. z 2019r. poz.  869 ze zm.) Wójt Gminy Duszniki zarządza, co następuje:</w:t>
      </w:r>
    </w:p>
    <w:p w14:paraId="7E4405E8" w14:textId="77777777" w:rsidR="000A7B1F" w:rsidRPr="00D6249E" w:rsidRDefault="000A7B1F" w:rsidP="000A7B1F">
      <w:pPr>
        <w:pStyle w:val="Tekstpodstawowy"/>
        <w:spacing w:line="360" w:lineRule="auto"/>
      </w:pPr>
    </w:p>
    <w:p w14:paraId="12A38886" w14:textId="77777777" w:rsidR="000A7B1F" w:rsidRPr="00D6249E" w:rsidRDefault="000A7B1F" w:rsidP="000A7B1F">
      <w:pPr>
        <w:spacing w:line="360" w:lineRule="auto"/>
        <w:jc w:val="center"/>
        <w:rPr>
          <w:b/>
          <w:bCs/>
        </w:rPr>
      </w:pPr>
      <w:r w:rsidRPr="00D6249E">
        <w:rPr>
          <w:b/>
          <w:bCs/>
        </w:rPr>
        <w:t>§ 1</w:t>
      </w:r>
    </w:p>
    <w:p w14:paraId="26B93E3E" w14:textId="72781FC0" w:rsidR="000A7B1F" w:rsidRPr="00D6249E" w:rsidRDefault="000A7B1F" w:rsidP="000A7B1F">
      <w:pPr>
        <w:spacing w:line="360" w:lineRule="auto"/>
        <w:jc w:val="both"/>
      </w:pPr>
      <w:r w:rsidRPr="00D6249E">
        <w:t>Ustala się projekt Wieloletniej Prognozy Finansowej Gminy Duszniki na lata 2021-2029 w brzmieniu określonym w załączniku  do Zarządzenia.</w:t>
      </w:r>
    </w:p>
    <w:p w14:paraId="2B95A7E4" w14:textId="77777777" w:rsidR="000A7B1F" w:rsidRPr="00D6249E" w:rsidRDefault="000A7B1F" w:rsidP="000A7B1F">
      <w:pPr>
        <w:spacing w:line="360" w:lineRule="auto"/>
        <w:jc w:val="both"/>
      </w:pPr>
    </w:p>
    <w:p w14:paraId="2756A7BA" w14:textId="77777777" w:rsidR="000A7B1F" w:rsidRPr="00D6249E" w:rsidRDefault="000A7B1F" w:rsidP="000A7B1F">
      <w:pPr>
        <w:spacing w:line="360" w:lineRule="auto"/>
        <w:jc w:val="center"/>
        <w:rPr>
          <w:b/>
          <w:bCs/>
        </w:rPr>
      </w:pPr>
      <w:r w:rsidRPr="00D6249E">
        <w:rPr>
          <w:b/>
          <w:bCs/>
        </w:rPr>
        <w:t>§ 2</w:t>
      </w:r>
    </w:p>
    <w:p w14:paraId="426D5280" w14:textId="6E85C5EF" w:rsidR="000A7B1F" w:rsidRPr="00D6249E" w:rsidRDefault="000A7B1F" w:rsidP="000A7B1F">
      <w:pPr>
        <w:pStyle w:val="Tekstpodstawowy"/>
        <w:spacing w:line="360" w:lineRule="auto"/>
      </w:pPr>
      <w:r w:rsidRPr="00D6249E">
        <w:t>Projekt Wieloletniej Prognozy Finansowej Gminy Duszniki na lata 2021 - 2029  podlega przedstawieniu Radzie Gminy Duszniki oraz Regionalnej Izbie Obrachunkowej celem zaopiniowania.</w:t>
      </w:r>
    </w:p>
    <w:p w14:paraId="7702E0B9" w14:textId="77777777" w:rsidR="000A7B1F" w:rsidRPr="00D6249E" w:rsidRDefault="000A7B1F" w:rsidP="000A7B1F">
      <w:pPr>
        <w:spacing w:line="360" w:lineRule="auto"/>
        <w:jc w:val="center"/>
        <w:rPr>
          <w:b/>
          <w:bCs/>
        </w:rPr>
      </w:pPr>
      <w:r w:rsidRPr="00D6249E">
        <w:rPr>
          <w:b/>
          <w:bCs/>
        </w:rPr>
        <w:t>§ 3</w:t>
      </w:r>
    </w:p>
    <w:p w14:paraId="44740C72" w14:textId="53FE12BE" w:rsidR="000A7B1F" w:rsidRPr="00D6249E" w:rsidRDefault="000A7B1F" w:rsidP="000A7B1F">
      <w:pPr>
        <w:spacing w:line="360" w:lineRule="auto"/>
        <w:jc w:val="both"/>
      </w:pPr>
      <w:r w:rsidRPr="00D6249E">
        <w:t>Zarządzenie wchodzi w życie z dniem podpisania.</w:t>
      </w:r>
    </w:p>
    <w:p w14:paraId="330E5957" w14:textId="77777777" w:rsidR="000A7B1F" w:rsidRPr="00D6249E" w:rsidRDefault="000A7B1F" w:rsidP="000A7B1F">
      <w:pPr>
        <w:jc w:val="both"/>
      </w:pPr>
    </w:p>
    <w:p w14:paraId="0A9ED053" w14:textId="77777777" w:rsidR="000A7B1F" w:rsidRPr="00D6249E" w:rsidRDefault="000A7B1F" w:rsidP="000A7B1F">
      <w:pPr>
        <w:jc w:val="both"/>
        <w:rPr>
          <w:b/>
          <w:bCs/>
        </w:rPr>
      </w:pPr>
    </w:p>
    <w:p w14:paraId="09AAC23E" w14:textId="77777777" w:rsidR="000A7B1F" w:rsidRPr="00D6249E" w:rsidRDefault="000A7B1F" w:rsidP="000A7B1F">
      <w:pPr>
        <w:jc w:val="both"/>
        <w:rPr>
          <w:b/>
          <w:bCs/>
        </w:rPr>
      </w:pPr>
    </w:p>
    <w:p w14:paraId="76EA7FF0" w14:textId="77777777" w:rsidR="000A7B1F" w:rsidRPr="00D6249E" w:rsidRDefault="000A7B1F" w:rsidP="000A7B1F">
      <w:pPr>
        <w:jc w:val="both"/>
        <w:rPr>
          <w:b/>
          <w:bCs/>
        </w:rPr>
      </w:pPr>
    </w:p>
    <w:p w14:paraId="1D3B1BF7" w14:textId="0C88FC70" w:rsidR="000A7B1F" w:rsidRPr="00D6249E" w:rsidRDefault="000A7B1F" w:rsidP="000A7B1F">
      <w:pPr>
        <w:jc w:val="both"/>
        <w:rPr>
          <w:b/>
          <w:bCs/>
        </w:rPr>
      </w:pPr>
    </w:p>
    <w:p w14:paraId="7E49162C" w14:textId="54E48CBF" w:rsidR="00501DC0" w:rsidRPr="00D6249E" w:rsidRDefault="00501DC0" w:rsidP="000A7B1F">
      <w:pPr>
        <w:jc w:val="both"/>
        <w:rPr>
          <w:b/>
          <w:bCs/>
        </w:rPr>
      </w:pPr>
    </w:p>
    <w:p w14:paraId="5EF8517A" w14:textId="775AAA35" w:rsidR="00501DC0" w:rsidRPr="00D6249E" w:rsidRDefault="00501DC0" w:rsidP="000A7B1F">
      <w:pPr>
        <w:jc w:val="both"/>
        <w:rPr>
          <w:b/>
          <w:bCs/>
        </w:rPr>
      </w:pPr>
    </w:p>
    <w:p w14:paraId="6C409AE1" w14:textId="05828BAC" w:rsidR="00501DC0" w:rsidRPr="00D6249E" w:rsidRDefault="00501DC0" w:rsidP="000A7B1F">
      <w:pPr>
        <w:jc w:val="both"/>
        <w:rPr>
          <w:b/>
          <w:bCs/>
        </w:rPr>
      </w:pPr>
    </w:p>
    <w:p w14:paraId="7C35088B" w14:textId="1995AC24" w:rsidR="00501DC0" w:rsidRPr="00D6249E" w:rsidRDefault="00501DC0" w:rsidP="000A7B1F">
      <w:pPr>
        <w:jc w:val="both"/>
        <w:rPr>
          <w:b/>
          <w:bCs/>
        </w:rPr>
      </w:pPr>
    </w:p>
    <w:p w14:paraId="1DF9AD6F" w14:textId="0E7F3253" w:rsidR="00501DC0" w:rsidRPr="00D6249E" w:rsidRDefault="00501DC0" w:rsidP="000A7B1F">
      <w:pPr>
        <w:jc w:val="both"/>
        <w:rPr>
          <w:b/>
          <w:bCs/>
        </w:rPr>
      </w:pPr>
    </w:p>
    <w:p w14:paraId="40BA5A11" w14:textId="481E15B1" w:rsidR="00501DC0" w:rsidRPr="00D6249E" w:rsidRDefault="00501DC0" w:rsidP="000A7B1F">
      <w:pPr>
        <w:jc w:val="both"/>
        <w:rPr>
          <w:b/>
          <w:bCs/>
        </w:rPr>
      </w:pPr>
    </w:p>
    <w:p w14:paraId="45330722" w14:textId="51A58967" w:rsidR="00501DC0" w:rsidRPr="00D6249E" w:rsidRDefault="00501DC0" w:rsidP="000A7B1F">
      <w:pPr>
        <w:jc w:val="both"/>
        <w:rPr>
          <w:b/>
          <w:bCs/>
        </w:rPr>
      </w:pPr>
    </w:p>
    <w:p w14:paraId="56951D64" w14:textId="31957187" w:rsidR="00501DC0" w:rsidRPr="00D6249E" w:rsidRDefault="00501DC0" w:rsidP="000A7B1F">
      <w:pPr>
        <w:jc w:val="both"/>
        <w:rPr>
          <w:b/>
          <w:bCs/>
        </w:rPr>
      </w:pPr>
    </w:p>
    <w:p w14:paraId="4D31069C" w14:textId="0B70D7C9" w:rsidR="00501DC0" w:rsidRPr="00D6249E" w:rsidRDefault="00501DC0" w:rsidP="000A7B1F">
      <w:pPr>
        <w:jc w:val="both"/>
        <w:rPr>
          <w:b/>
          <w:bCs/>
        </w:rPr>
      </w:pPr>
    </w:p>
    <w:p w14:paraId="0312E794" w14:textId="074ADD07" w:rsidR="00D6249E" w:rsidRPr="00D6249E" w:rsidRDefault="00D6249E" w:rsidP="000A7B1F">
      <w:pPr>
        <w:jc w:val="both"/>
        <w:rPr>
          <w:b/>
          <w:bCs/>
        </w:rPr>
      </w:pPr>
    </w:p>
    <w:p w14:paraId="5E0E1B3A" w14:textId="0CEE6FCE" w:rsidR="00D6249E" w:rsidRPr="00D6249E" w:rsidRDefault="00D6249E" w:rsidP="00D6249E">
      <w:pPr>
        <w:ind w:left="5664"/>
        <w:jc w:val="both"/>
        <w:rPr>
          <w:b/>
          <w:bCs/>
        </w:rPr>
      </w:pPr>
      <w:r w:rsidRPr="00D6249E">
        <w:rPr>
          <w:b/>
          <w:bCs/>
        </w:rPr>
        <w:t>Załącznik</w:t>
      </w:r>
    </w:p>
    <w:p w14:paraId="3243DC9F" w14:textId="69D33A26" w:rsidR="00D6249E" w:rsidRPr="00D6249E" w:rsidRDefault="00D6249E" w:rsidP="00D6249E">
      <w:pPr>
        <w:ind w:left="5664"/>
        <w:jc w:val="both"/>
        <w:rPr>
          <w:b/>
          <w:bCs/>
        </w:rPr>
      </w:pPr>
      <w:r w:rsidRPr="00D6249E">
        <w:rPr>
          <w:b/>
          <w:bCs/>
        </w:rPr>
        <w:t>do Zarządzenia Nr 96/2020</w:t>
      </w:r>
    </w:p>
    <w:p w14:paraId="4BF6C483" w14:textId="111A2CCF" w:rsidR="00D6249E" w:rsidRPr="00D6249E" w:rsidRDefault="00D6249E" w:rsidP="00D6249E">
      <w:pPr>
        <w:ind w:left="5664"/>
        <w:jc w:val="both"/>
        <w:rPr>
          <w:b/>
          <w:bCs/>
        </w:rPr>
      </w:pPr>
      <w:r w:rsidRPr="00D6249E">
        <w:rPr>
          <w:b/>
          <w:bCs/>
        </w:rPr>
        <w:t xml:space="preserve">Wójta Gminy Duszniki </w:t>
      </w:r>
    </w:p>
    <w:p w14:paraId="3435B341" w14:textId="2E0CF867" w:rsidR="00D6249E" w:rsidRPr="00D6249E" w:rsidRDefault="00D6249E" w:rsidP="00D6249E">
      <w:pPr>
        <w:ind w:left="5664"/>
        <w:jc w:val="both"/>
        <w:rPr>
          <w:b/>
          <w:bCs/>
        </w:rPr>
      </w:pPr>
      <w:r w:rsidRPr="00D6249E">
        <w:rPr>
          <w:b/>
          <w:bCs/>
        </w:rPr>
        <w:t>z dnia 16 listopada 2020 r.</w:t>
      </w:r>
    </w:p>
    <w:p w14:paraId="54A650A6" w14:textId="77777777" w:rsidR="00D6249E" w:rsidRPr="00D6249E" w:rsidRDefault="00D6249E" w:rsidP="00D62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360" w:lineRule="auto"/>
        <w:rPr>
          <w:rFonts w:eastAsiaTheme="minorHAnsi"/>
          <w:b/>
          <w:bCs/>
          <w:lang w:eastAsia="en-US"/>
        </w:rPr>
      </w:pPr>
    </w:p>
    <w:p w14:paraId="39E0BDA8" w14:textId="565464C2" w:rsidR="00501DC0" w:rsidRP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360" w:lineRule="auto"/>
        <w:jc w:val="center"/>
        <w:rPr>
          <w:rFonts w:eastAsiaTheme="minorHAnsi"/>
          <w:lang w:eastAsia="en-US"/>
        </w:rPr>
      </w:pPr>
      <w:r w:rsidRPr="00501DC0">
        <w:rPr>
          <w:rFonts w:eastAsiaTheme="minorHAnsi"/>
          <w:b/>
          <w:bCs/>
          <w:lang w:eastAsia="en-US"/>
        </w:rPr>
        <w:t>UCHWAŁA NR …/…/2020</w:t>
      </w:r>
      <w:r w:rsidR="008D185D">
        <w:rPr>
          <w:rFonts w:eastAsiaTheme="minorHAnsi"/>
          <w:b/>
          <w:bCs/>
          <w:lang w:eastAsia="en-US"/>
        </w:rPr>
        <w:t xml:space="preserve">     PROJEKT</w:t>
      </w:r>
      <w:r w:rsidRPr="00501DC0">
        <w:rPr>
          <w:rFonts w:eastAsiaTheme="minorHAnsi"/>
          <w:b/>
          <w:bCs/>
          <w:lang w:eastAsia="en-US"/>
        </w:rPr>
        <w:br/>
        <w:t>RADY GMINY DUSZNIKI</w:t>
      </w:r>
      <w:r w:rsidRPr="00501DC0">
        <w:rPr>
          <w:rFonts w:eastAsiaTheme="minorHAnsi"/>
          <w:b/>
          <w:bCs/>
          <w:lang w:eastAsia="en-US"/>
        </w:rPr>
        <w:br/>
      </w:r>
      <w:r w:rsidRPr="00501DC0">
        <w:rPr>
          <w:rFonts w:eastAsiaTheme="minorHAnsi"/>
          <w:lang w:eastAsia="en-US"/>
        </w:rPr>
        <w:t>z dnia ........... grudnia 2020</w:t>
      </w:r>
    </w:p>
    <w:p w14:paraId="7DD8B1F7" w14:textId="77777777" w:rsidR="00501DC0" w:rsidRP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center"/>
        <w:rPr>
          <w:rFonts w:eastAsiaTheme="minorHAnsi"/>
          <w:lang w:eastAsia="en-US"/>
        </w:rPr>
      </w:pPr>
      <w:r w:rsidRPr="00501DC0">
        <w:rPr>
          <w:rFonts w:eastAsiaTheme="minorHAnsi"/>
          <w:b/>
          <w:bCs/>
          <w:lang w:eastAsia="en-US"/>
        </w:rPr>
        <w:t>w sprawie Wieloletniej Prognozy Finansowej Gminy Duszniki na lata 2021-2029.</w:t>
      </w:r>
    </w:p>
    <w:p w14:paraId="7D304C0F" w14:textId="30EE6704" w:rsidR="00501DC0" w:rsidRP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r w:rsidRPr="00501DC0">
        <w:rPr>
          <w:rFonts w:eastAsiaTheme="minorHAnsi"/>
          <w:lang w:eastAsia="en-US"/>
        </w:rPr>
        <w:t>Na podstawie art. 230 ust. 6 ustawy z dnia 27 sierpnia 2009 roku o finansach publicznych (Dz. U. z 2019 r. poz. 869 z </w:t>
      </w:r>
      <w:proofErr w:type="spellStart"/>
      <w:r w:rsidRPr="00501DC0">
        <w:rPr>
          <w:rFonts w:eastAsiaTheme="minorHAnsi"/>
          <w:lang w:eastAsia="en-US"/>
        </w:rPr>
        <w:t>późn</w:t>
      </w:r>
      <w:proofErr w:type="spellEnd"/>
      <w:r w:rsidRPr="00501DC0">
        <w:rPr>
          <w:rFonts w:eastAsiaTheme="minorHAnsi"/>
          <w:lang w:eastAsia="en-US"/>
        </w:rPr>
        <w:t>. zm.) uchwala się, co następuje:</w:t>
      </w:r>
    </w:p>
    <w:p w14:paraId="40E2DB0D" w14:textId="30843AA7" w:rsid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lang w:eastAsia="en-US"/>
        </w:rPr>
      </w:pPr>
      <w:r w:rsidRPr="00501DC0">
        <w:rPr>
          <w:rFonts w:eastAsiaTheme="minorHAnsi"/>
          <w:b/>
          <w:bCs/>
          <w:lang w:eastAsia="en-US"/>
        </w:rPr>
        <w:t>§ 1.</w:t>
      </w:r>
    </w:p>
    <w:p w14:paraId="5BCAEF35" w14:textId="77777777" w:rsidR="00D6249E" w:rsidRPr="00501DC0"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lang w:eastAsia="en-US"/>
        </w:rPr>
      </w:pPr>
    </w:p>
    <w:p w14:paraId="59FA6873" w14:textId="77777777" w:rsidR="00501DC0" w:rsidRP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r w:rsidRPr="00501DC0">
        <w:rPr>
          <w:rFonts w:eastAsiaTheme="minorHAnsi"/>
          <w:lang w:eastAsia="en-US"/>
        </w:rPr>
        <w:t>Uchwala się Wieloletnią Prognozę Finansową Gminy Duszniki na lata 2021-2029, zgodnie z załącznikiem nr 1 do uchwały.</w:t>
      </w:r>
    </w:p>
    <w:p w14:paraId="7685DEBD" w14:textId="1347BC97" w:rsid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lang w:eastAsia="en-US"/>
        </w:rPr>
      </w:pPr>
      <w:r w:rsidRPr="00501DC0">
        <w:rPr>
          <w:rFonts w:eastAsiaTheme="minorHAnsi"/>
          <w:b/>
          <w:bCs/>
          <w:lang w:eastAsia="en-US"/>
        </w:rPr>
        <w:t>§ 2.</w:t>
      </w:r>
    </w:p>
    <w:p w14:paraId="421ABBC1" w14:textId="77777777" w:rsidR="00D6249E" w:rsidRPr="00501DC0"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lang w:eastAsia="en-US"/>
        </w:rPr>
      </w:pPr>
    </w:p>
    <w:p w14:paraId="08BEE622" w14:textId="34A3D2DE" w:rsidR="00501DC0" w:rsidRP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r w:rsidRPr="00501DC0">
        <w:rPr>
          <w:rFonts w:eastAsiaTheme="minorHAnsi"/>
          <w:lang w:eastAsia="en-US"/>
        </w:rPr>
        <w:t xml:space="preserve">Uchwala się wykaz wieloletnich przedsięwzięć Gminy Duszniki, obejmujący limity wydatków w poszczególnych latach oraz limity zobowiązań z nimi związane, zgodnie z załącznikiem </w:t>
      </w:r>
      <w:r w:rsidR="00D6249E">
        <w:rPr>
          <w:rFonts w:eastAsiaTheme="minorHAnsi"/>
          <w:lang w:eastAsia="en-US"/>
        </w:rPr>
        <w:br/>
      </w:r>
      <w:r w:rsidRPr="00501DC0">
        <w:rPr>
          <w:rFonts w:eastAsiaTheme="minorHAnsi"/>
          <w:lang w:eastAsia="en-US"/>
        </w:rPr>
        <w:t>nr 2 do uchwały.</w:t>
      </w:r>
    </w:p>
    <w:p w14:paraId="1E8F685E" w14:textId="16A1BF38" w:rsid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lang w:eastAsia="en-US"/>
        </w:rPr>
      </w:pPr>
      <w:r w:rsidRPr="00501DC0">
        <w:rPr>
          <w:rFonts w:eastAsiaTheme="minorHAnsi"/>
          <w:b/>
          <w:bCs/>
          <w:lang w:eastAsia="en-US"/>
        </w:rPr>
        <w:t>§ 3.</w:t>
      </w:r>
    </w:p>
    <w:p w14:paraId="56319498" w14:textId="77777777" w:rsidR="00D6249E" w:rsidRPr="00501DC0"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lang w:eastAsia="en-US"/>
        </w:rPr>
      </w:pPr>
    </w:p>
    <w:p w14:paraId="7EA39298" w14:textId="77777777" w:rsidR="00501DC0" w:rsidRPr="00501DC0" w:rsidRDefault="00501DC0" w:rsidP="00501DC0">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r w:rsidRPr="00501DC0">
        <w:rPr>
          <w:rFonts w:eastAsiaTheme="minorHAnsi"/>
          <w:lang w:eastAsia="en-US"/>
        </w:rPr>
        <w:t>Upoważnia się Wójta Gminy Duszniki do zaciągania zobowiązań:</w:t>
      </w:r>
    </w:p>
    <w:p w14:paraId="643BD71D" w14:textId="77777777" w:rsidR="00501DC0" w:rsidRPr="00501DC0" w:rsidRDefault="00501DC0" w:rsidP="00501DC0">
      <w:pPr>
        <w:widowControl w:val="0"/>
        <w:numPr>
          <w:ilvl w:val="1"/>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60"/>
        <w:rPr>
          <w:rFonts w:eastAsiaTheme="minorHAnsi"/>
          <w:lang w:eastAsia="en-US"/>
        </w:rPr>
      </w:pPr>
      <w:r w:rsidRPr="00501DC0">
        <w:rPr>
          <w:rFonts w:eastAsiaTheme="minorHAnsi"/>
          <w:lang w:eastAsia="en-US"/>
        </w:rPr>
        <w:t>związanych z realizacją wieloletnich przedsięwzięć do wysokości limitów określonych w załączniku nr 2 do uchwały;</w:t>
      </w:r>
    </w:p>
    <w:p w14:paraId="66B86426" w14:textId="77777777" w:rsidR="00501DC0" w:rsidRPr="00501DC0" w:rsidRDefault="00501DC0" w:rsidP="00501DC0">
      <w:pPr>
        <w:widowControl w:val="0"/>
        <w:numPr>
          <w:ilvl w:val="1"/>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40"/>
        <w:jc w:val="both"/>
        <w:rPr>
          <w:rFonts w:eastAsiaTheme="minorHAnsi"/>
          <w:lang w:eastAsia="en-US"/>
        </w:rPr>
      </w:pPr>
      <w:r w:rsidRPr="00501DC0">
        <w:rPr>
          <w:rFonts w:eastAsiaTheme="minorHAnsi"/>
          <w:lang w:eastAsia="en-US"/>
        </w:rPr>
        <w:t>z tytułu umów, których realizacja w roku budżetowym i latach następnych jest niezbędna dla zapewnienia ciągłości działania Gminy i których terminy płatności wykraczają poza rok budżetowy.</w:t>
      </w:r>
    </w:p>
    <w:p w14:paraId="4AE7063B" w14:textId="77777777" w:rsidR="00501DC0" w:rsidRPr="00501DC0" w:rsidRDefault="00501DC0" w:rsidP="00501DC0">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r w:rsidRPr="00501DC0">
        <w:rPr>
          <w:rFonts w:eastAsiaTheme="minorHAnsi"/>
          <w:lang w:eastAsia="en-US"/>
        </w:rPr>
        <w:t>Upoważnia się Wójta Gminy Duszniki do przekazania uprawnień do zaciągania zobowiązań, o których mowa w ust. 1 kierownikom jednostek organizacyjnych Gminy.</w:t>
      </w:r>
    </w:p>
    <w:p w14:paraId="1BE6EC03" w14:textId="77777777" w:rsidR="00501DC0" w:rsidRPr="00501DC0" w:rsidRDefault="00501DC0" w:rsidP="00501DC0">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r w:rsidRPr="00501DC0">
        <w:rPr>
          <w:rFonts w:eastAsiaTheme="minorHAnsi"/>
          <w:lang w:eastAsia="en-US"/>
        </w:rPr>
        <w:t xml:space="preserve">Upoważnia się Wójta Gminy Duszniki do dokonywania zmian limitów zobowiązań i kwot wydatków na realizację przedsięwzięć finansowanych z udziałem środków europejskich albo środków, o których mowa w art. 5 ust. 1 pkt 3 ustawy z dnia 27 sierpnia 2009 r. o finansach publicznych, w związku ze zmianami w realizacji takich przedsięwzięć, o ile zmiany te nie pogorszą wyniku budżetu dla każdego roku objętego wieloletnią prognozą finansową. Upoważnienie to obejmuje także upoważnienie do dokonywania zmian środków przeznaczonych na współfinansowanie realizacji przedsięwzięć, o których mowa w zdaniu pierwszym, w tym wkładu własnego beneficjenta, oraz wynikających z rozstrzygniętych konkursów, o których mowa </w:t>
      </w:r>
      <w:r w:rsidRPr="00501DC0">
        <w:rPr>
          <w:rFonts w:eastAsiaTheme="minorHAnsi"/>
          <w:lang w:eastAsia="en-US"/>
        </w:rPr>
        <w:lastRenderedPageBreak/>
        <w:t>w art. 38 ust. 1 pkt 1 ustawy z dnia 11 lipca 2014 r. o zasadach realizacji programów w zakresie polityki spójności finansowanych w perspektywie finansowej 2014-2020.</w:t>
      </w:r>
    </w:p>
    <w:p w14:paraId="04F8FC1F" w14:textId="471E6F79" w:rsid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lang w:eastAsia="en-US"/>
        </w:rPr>
      </w:pPr>
      <w:r w:rsidRPr="00501DC0">
        <w:rPr>
          <w:rFonts w:eastAsiaTheme="minorHAnsi"/>
          <w:b/>
          <w:bCs/>
          <w:lang w:eastAsia="en-US"/>
        </w:rPr>
        <w:t>§ 4.</w:t>
      </w:r>
    </w:p>
    <w:p w14:paraId="75A75024" w14:textId="77777777" w:rsidR="00D6249E" w:rsidRPr="00501DC0"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lang w:eastAsia="en-US"/>
        </w:rPr>
      </w:pPr>
    </w:p>
    <w:p w14:paraId="5EECDA3F" w14:textId="77777777" w:rsidR="00501DC0" w:rsidRP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r w:rsidRPr="00501DC0">
        <w:rPr>
          <w:rFonts w:eastAsiaTheme="minorHAnsi"/>
          <w:lang w:eastAsia="en-US"/>
        </w:rPr>
        <w:t>Wykonanie uchwały powierza się Wójtowi Gminy Duszniki.</w:t>
      </w:r>
    </w:p>
    <w:p w14:paraId="3F7D8A70" w14:textId="2EBA7774" w:rsid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lang w:eastAsia="en-US"/>
        </w:rPr>
      </w:pPr>
      <w:r w:rsidRPr="00501DC0">
        <w:rPr>
          <w:rFonts w:eastAsiaTheme="minorHAnsi"/>
          <w:b/>
          <w:bCs/>
          <w:lang w:eastAsia="en-US"/>
        </w:rPr>
        <w:t>§ 5.</w:t>
      </w:r>
    </w:p>
    <w:p w14:paraId="42857914" w14:textId="77777777" w:rsidR="00D6249E" w:rsidRPr="00501DC0"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lang w:eastAsia="en-US"/>
        </w:rPr>
      </w:pPr>
    </w:p>
    <w:p w14:paraId="4E34C593" w14:textId="77777777" w:rsidR="00501DC0" w:rsidRP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r w:rsidRPr="00501DC0">
        <w:rPr>
          <w:rFonts w:eastAsiaTheme="minorHAnsi"/>
          <w:lang w:eastAsia="en-US"/>
        </w:rPr>
        <w:t>Traci moc Uchwała XX/148/19 Rady Gminy Duszniki z dnia 23 grudnia 2019 roku w sprawie uchwalenia Wieloletniej Prognozy Finansowej Gminy Duszniki na lata 2020-2027 z późniejszymi zmianami.</w:t>
      </w:r>
    </w:p>
    <w:p w14:paraId="598C7EE7" w14:textId="1582C93D" w:rsid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lang w:eastAsia="en-US"/>
        </w:rPr>
      </w:pPr>
      <w:r w:rsidRPr="00501DC0">
        <w:rPr>
          <w:rFonts w:eastAsiaTheme="minorHAnsi"/>
          <w:b/>
          <w:bCs/>
          <w:lang w:eastAsia="en-US"/>
        </w:rPr>
        <w:t>§ 6.</w:t>
      </w:r>
    </w:p>
    <w:p w14:paraId="556EDBE3" w14:textId="77777777" w:rsidR="00D6249E" w:rsidRPr="00501DC0"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lang w:eastAsia="en-US"/>
        </w:rPr>
      </w:pPr>
    </w:p>
    <w:p w14:paraId="7DED5056" w14:textId="18F66C2F" w:rsidR="00501DC0" w:rsidRDefault="00501DC0"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r w:rsidRPr="00501DC0">
        <w:rPr>
          <w:rFonts w:eastAsiaTheme="minorHAnsi"/>
          <w:lang w:eastAsia="en-US"/>
        </w:rPr>
        <w:t>Uchwała wchodzi w życie z dniem 1 stycznia 2021 r.</w:t>
      </w:r>
    </w:p>
    <w:p w14:paraId="40A0FCF3" w14:textId="7B14C0C1"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66339B15" w14:textId="64D14EEA"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4CCD627D" w14:textId="7E483C6F"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34436529" w14:textId="188CB308"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68BD0B47" w14:textId="376686AC"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73495331" w14:textId="5F096F6B"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08043603" w14:textId="2498D846"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16ADBE56" w14:textId="226BB8F8"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19A3BFC3" w14:textId="3A006220"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3BC127A3" w14:textId="7C1A7306"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1DBBB314" w14:textId="44D1D085"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40395861" w14:textId="730067D0"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719B89F3" w14:textId="770824FD"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0E7FE58A" w14:textId="5B959AB3"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155CAE61" w14:textId="1F9A818D"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0568CE8D" w14:textId="20C89FE9"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4BAB7952" w14:textId="0C5A2A2A"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7A104BE5" w14:textId="5E3C8AB3" w:rsidR="00D6249E" w:rsidRDefault="00D6249E" w:rsidP="00501D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eastAsiaTheme="minorHAnsi"/>
          <w:lang w:eastAsia="en-US"/>
        </w:rPr>
      </w:pPr>
    </w:p>
    <w:p w14:paraId="4B9FD864" w14:textId="7EAA464E" w:rsid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center"/>
        <w:rPr>
          <w:rFonts w:eastAsiaTheme="minorHAnsi"/>
          <w:b/>
          <w:bCs/>
          <w:lang w:eastAsia="en-US"/>
        </w:rPr>
      </w:pPr>
      <w:r w:rsidRPr="00D6249E">
        <w:rPr>
          <w:rFonts w:eastAsiaTheme="minorHAnsi"/>
          <w:b/>
          <w:bCs/>
          <w:lang w:eastAsia="en-US"/>
        </w:rPr>
        <w:lastRenderedPageBreak/>
        <w:t>UZASADNIENIE</w:t>
      </w:r>
    </w:p>
    <w:p w14:paraId="1867EEA4" w14:textId="44EECB53" w:rsidR="008D185D" w:rsidRDefault="008D185D"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center"/>
        <w:rPr>
          <w:rFonts w:eastAsiaTheme="minorHAnsi"/>
          <w:b/>
          <w:bCs/>
          <w:lang w:eastAsia="en-US"/>
        </w:rPr>
      </w:pPr>
      <w:r>
        <w:rPr>
          <w:rFonts w:eastAsiaTheme="minorHAnsi"/>
          <w:b/>
          <w:bCs/>
          <w:lang w:eastAsia="en-US"/>
        </w:rPr>
        <w:t xml:space="preserve">do projektu Uchwały Nr.. </w:t>
      </w:r>
      <w:r>
        <w:rPr>
          <w:rFonts w:eastAsiaTheme="minorHAnsi"/>
          <w:b/>
          <w:bCs/>
          <w:lang w:eastAsia="en-US"/>
        </w:rPr>
        <w:br/>
        <w:t>Rady Gminy Duszniki</w:t>
      </w:r>
    </w:p>
    <w:p w14:paraId="65582AC0" w14:textId="122DA5A0" w:rsidR="008D185D" w:rsidRPr="00D6249E" w:rsidRDefault="008D185D"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center"/>
        <w:rPr>
          <w:rFonts w:eastAsiaTheme="minorHAnsi"/>
          <w:lang w:eastAsia="en-US"/>
        </w:rPr>
      </w:pPr>
      <w:r>
        <w:rPr>
          <w:rFonts w:eastAsiaTheme="minorHAnsi"/>
          <w:b/>
          <w:bCs/>
          <w:lang w:eastAsia="en-US"/>
        </w:rPr>
        <w:t xml:space="preserve">z dnia    grudnia 2020 r. </w:t>
      </w:r>
    </w:p>
    <w:p w14:paraId="4E3D451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center"/>
        <w:rPr>
          <w:rFonts w:eastAsiaTheme="minorHAnsi"/>
          <w:lang w:eastAsia="en-US"/>
        </w:rPr>
      </w:pPr>
      <w:r w:rsidRPr="00D6249E">
        <w:rPr>
          <w:rFonts w:eastAsiaTheme="minorHAnsi"/>
          <w:b/>
          <w:bCs/>
          <w:lang w:eastAsia="en-US"/>
        </w:rPr>
        <w:t>Objaśnienia przyjętych wartości do Wieloletniej Prognozy Finansowej Gminy Duszniki na lata 2021-2029.</w:t>
      </w:r>
    </w:p>
    <w:p w14:paraId="1F90C8F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Obowiązek sporządzenia Wieloletniej Prognozy Finansowej jest jedną z zasadniczych zmian wprowadzonych ustawą z dnia 27 sierpnia 2009 roku odnoszących się do zagadnień gospodarki finansowej jednostek samorządu terytorialnego. Regulacja ta stwarza możliwość kompleksowej analizy sytuacji finansowej jednostki oraz możliwość oceny podejmowanych przedsięwzięć z perspektywy ich znaczenia dla samorządu. W zamyśle prawodawcy wieloletnia prognoza finansowa jednostki samorządu terytorialnego ma być instrumentem nowoczesnego zarządzania finansami publicznymi.</w:t>
      </w:r>
    </w:p>
    <w:p w14:paraId="10799ED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W Wieloletniej Prognozie Finansowej Gminy Duszniki zastosowano wzory załączników (załącznik nr 1 oraz załącznik nr 2 do uchwały) zgodnie z Rozporządzeniem Ministra Finansów z dnia 10 stycznia 2013 roku w sprawie wieloletniej prognozy finansowej jednostki samorządu terytorialnego (Dz. U. z 2015 r. poz. 92) z uwzględnieniem zmian wynikających z Rozporządzenia Ministra Finansów, Inwestycji i Rozwoju z dnia 1 października 2019 r. (Dz. U. z 2019 r. poz. 1903) oraz Rozporządzenia Ministra Finansów z dnia 10 sierpnia 2020 r. (Dz. U. z 2020 r. poz. 1381).</w:t>
      </w:r>
    </w:p>
    <w:p w14:paraId="24D071E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Podstawą opracowania Wieloletniej Prognozy Finansowej Gminy Duszniki jest projekt uchwały budżetowej na 2021 rok, dane sprawozdawcze z wykonania budżetu Gminy Duszniki za lata 2018 i 2019, wartości planowane na koniec III kwartału 2020 roku oraz Wytyczne Ministra Finansów dotyczące stosowania jednolitych wskaźników makroekonomicznych, będących podstawą oszacowania skutków finansowych projektowanych ustaw (aktualizacja – lipiec 2020 r.). W kolumnie pomocniczej dotyczącej przewidywanego wykonania w 2020 roku wprowadzono wartości, zgodnie z aktualnym planem budżetu Gminy Duszniki na dzień przygotowania projektu.</w:t>
      </w:r>
    </w:p>
    <w:p w14:paraId="6BAEA12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Art. 227 ust. 1 ustawy z dnia 27 sierpnia 2009 roku o finansach publicznych (</w:t>
      </w:r>
      <w:proofErr w:type="spellStart"/>
      <w:r w:rsidRPr="00D6249E">
        <w:rPr>
          <w:rFonts w:eastAsiaTheme="minorHAnsi"/>
          <w:lang w:eastAsia="en-US"/>
        </w:rPr>
        <w:t>t.j</w:t>
      </w:r>
      <w:proofErr w:type="spellEnd"/>
      <w:r w:rsidRPr="00D6249E">
        <w:rPr>
          <w:rFonts w:eastAsiaTheme="minorHAnsi"/>
          <w:lang w:eastAsia="en-US"/>
        </w:rPr>
        <w:t>. Dz. U. z 2019 r. poz. 869 z </w:t>
      </w:r>
      <w:proofErr w:type="spellStart"/>
      <w:r w:rsidRPr="00D6249E">
        <w:rPr>
          <w:rFonts w:eastAsiaTheme="minorHAnsi"/>
          <w:lang w:eastAsia="en-US"/>
        </w:rPr>
        <w:t>późn</w:t>
      </w:r>
      <w:proofErr w:type="spellEnd"/>
      <w:r w:rsidRPr="00D6249E">
        <w:rPr>
          <w:rFonts w:eastAsiaTheme="minorHAnsi"/>
          <w:lang w:eastAsia="en-US"/>
        </w:rPr>
        <w:t>.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zobowiązań przewiduje się do roku 2029. W związku z powyższym, Wieloletnia Prognoza Finansowa Gminy Duszniki została przygotowana na lata 2021-2029.</w:t>
      </w:r>
    </w:p>
    <w:p w14:paraId="25694723" w14:textId="7C379DB3" w:rsid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Kwoty wydatków wynikające z limitów wydatków na przedsięwzięcia nie wykraczają poza okres prognozy kwoty długu. Nie planuje się także wydatków z tytułu niewymagalnych poręczeń i gwarancji, które przekraczałyby okres prognozy kwoty długu.</w:t>
      </w:r>
    </w:p>
    <w:p w14:paraId="7CA9CD2A" w14:textId="1930CF41" w:rsidR="008D185D" w:rsidRDefault="008D185D"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p>
    <w:p w14:paraId="008BA1FF" w14:textId="77777777" w:rsidR="008D185D" w:rsidRPr="00D6249E" w:rsidRDefault="008D185D"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p>
    <w:p w14:paraId="52DAC7D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b/>
          <w:bCs/>
          <w:lang w:eastAsia="en-US"/>
        </w:rPr>
        <w:lastRenderedPageBreak/>
        <w:t>1. Założenia makroekonomiczne</w:t>
      </w:r>
    </w:p>
    <w:p w14:paraId="2E31001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Przy opracowaniu prognozy pozycji budżetowych Gminy Duszniki wykorzystano trzy podstawowe mierniki koniunktury gospodarczej – produkt krajowy brutto (PKB) oraz wskaźnik inflacji (CPI) oraz wskaźnik wynagrodzeń. Na ich podstawie oszacowano wartości dochodów i wydatków Gminy Duszniki, co, dzięki konstrukcji i zaawansowanym metodom dokonywania obliczeń, pozwoli realizować w przyszłości właściwą politykę finansową jednostki.</w:t>
      </w:r>
    </w:p>
    <w:p w14:paraId="28DE01D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p>
    <w:p w14:paraId="6AA2B442" w14:textId="3D9337A8"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Zgodnie z zaleceniami Ministra Finansów, prognozę wskazanych pozycji oparto o Wytyczne dotyczące stosowania jednolitych wskaźników makroekonomicznych będących podstawą oszacowania skutków finansowych projektowanych ustaw. Ostatnia dostępna aktualizacja ww. wytycznych miała miejsce w lipcu 2020 r., a dane wynikające z powołanego dokumentu prezentuje tabela 1.</w:t>
      </w:r>
    </w:p>
    <w:p w14:paraId="4ADEF11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sz w:val="22"/>
          <w:szCs w:val="22"/>
          <w:lang w:eastAsia="en-US"/>
        </w:rPr>
      </w:pPr>
      <w:r w:rsidRPr="00D6249E">
        <w:rPr>
          <w:rFonts w:eastAsiaTheme="minorHAnsi"/>
          <w:b/>
          <w:bCs/>
          <w:sz w:val="22"/>
          <w:szCs w:val="22"/>
          <w:lang w:eastAsia="en-US"/>
        </w:rPr>
        <w:t>Tabela 1. Dane makroekonomiczne przyjęte do wyliczeń prognozy</w:t>
      </w:r>
    </w:p>
    <w:tbl>
      <w:tblPr>
        <w:tblW w:w="9214" w:type="dxa"/>
        <w:tblInd w:w="-5" w:type="dxa"/>
        <w:tblLayout w:type="fixed"/>
        <w:tblCellMar>
          <w:left w:w="10" w:type="dxa"/>
          <w:right w:w="10" w:type="dxa"/>
        </w:tblCellMar>
        <w:tblLook w:val="0000" w:firstRow="0" w:lastRow="0" w:firstColumn="0" w:lastColumn="0" w:noHBand="0" w:noVBand="0"/>
      </w:tblPr>
      <w:tblGrid>
        <w:gridCol w:w="2028"/>
        <w:gridCol w:w="1091"/>
        <w:gridCol w:w="1134"/>
        <w:gridCol w:w="1134"/>
        <w:gridCol w:w="992"/>
        <w:gridCol w:w="851"/>
        <w:gridCol w:w="992"/>
        <w:gridCol w:w="992"/>
      </w:tblGrid>
      <w:tr w:rsidR="00D6249E" w:rsidRPr="00D6249E" w14:paraId="381765A3" w14:textId="77777777" w:rsidTr="00D6249E">
        <w:trPr>
          <w:trHeight w:val="283"/>
        </w:trPr>
        <w:tc>
          <w:tcPr>
            <w:tcW w:w="2028" w:type="dxa"/>
            <w:tcBorders>
              <w:top w:val="single" w:sz="4" w:space="0" w:color="auto"/>
              <w:left w:val="single" w:sz="4" w:space="0" w:color="auto"/>
              <w:bottom w:val="single" w:sz="4" w:space="0" w:color="auto"/>
              <w:right w:val="single" w:sz="4" w:space="0" w:color="auto"/>
            </w:tcBorders>
            <w:shd w:val="clear" w:color="auto" w:fill="FCD5B5"/>
            <w:vAlign w:val="center"/>
          </w:tcPr>
          <w:p w14:paraId="65D4341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Wskaźnik</w:t>
            </w:r>
          </w:p>
        </w:tc>
        <w:tc>
          <w:tcPr>
            <w:tcW w:w="1091" w:type="dxa"/>
            <w:tcBorders>
              <w:top w:val="single" w:sz="4" w:space="0" w:color="auto"/>
              <w:left w:val="single" w:sz="4" w:space="0" w:color="auto"/>
              <w:bottom w:val="single" w:sz="4" w:space="0" w:color="auto"/>
              <w:right w:val="single" w:sz="4" w:space="0" w:color="auto"/>
            </w:tcBorders>
            <w:shd w:val="clear" w:color="auto" w:fill="FCD5B5"/>
            <w:vAlign w:val="center"/>
          </w:tcPr>
          <w:p w14:paraId="18DEE7F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2021</w:t>
            </w:r>
          </w:p>
        </w:tc>
        <w:tc>
          <w:tcPr>
            <w:tcW w:w="1134" w:type="dxa"/>
            <w:tcBorders>
              <w:top w:val="single" w:sz="4" w:space="0" w:color="auto"/>
              <w:left w:val="single" w:sz="4" w:space="0" w:color="auto"/>
              <w:bottom w:val="single" w:sz="4" w:space="0" w:color="auto"/>
              <w:right w:val="single" w:sz="4" w:space="0" w:color="auto"/>
            </w:tcBorders>
            <w:shd w:val="clear" w:color="auto" w:fill="FCD5B5"/>
            <w:vAlign w:val="center"/>
          </w:tcPr>
          <w:p w14:paraId="3A75BC8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2022</w:t>
            </w:r>
          </w:p>
        </w:tc>
        <w:tc>
          <w:tcPr>
            <w:tcW w:w="1134" w:type="dxa"/>
            <w:tcBorders>
              <w:top w:val="single" w:sz="4" w:space="0" w:color="auto"/>
              <w:left w:val="single" w:sz="4" w:space="0" w:color="auto"/>
              <w:bottom w:val="single" w:sz="4" w:space="0" w:color="auto"/>
              <w:right w:val="single" w:sz="4" w:space="0" w:color="auto"/>
            </w:tcBorders>
            <w:shd w:val="clear" w:color="auto" w:fill="FCD5B5"/>
            <w:vAlign w:val="center"/>
          </w:tcPr>
          <w:p w14:paraId="51CD8F8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2023</w:t>
            </w:r>
          </w:p>
        </w:tc>
        <w:tc>
          <w:tcPr>
            <w:tcW w:w="992" w:type="dxa"/>
            <w:tcBorders>
              <w:top w:val="single" w:sz="4" w:space="0" w:color="auto"/>
              <w:left w:val="single" w:sz="4" w:space="0" w:color="auto"/>
              <w:bottom w:val="single" w:sz="4" w:space="0" w:color="auto"/>
              <w:right w:val="single" w:sz="4" w:space="0" w:color="auto"/>
            </w:tcBorders>
            <w:shd w:val="clear" w:color="auto" w:fill="FCD5B5"/>
            <w:vAlign w:val="center"/>
          </w:tcPr>
          <w:p w14:paraId="5608391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2024</w:t>
            </w:r>
          </w:p>
        </w:tc>
        <w:tc>
          <w:tcPr>
            <w:tcW w:w="851" w:type="dxa"/>
            <w:tcBorders>
              <w:top w:val="single" w:sz="4" w:space="0" w:color="auto"/>
              <w:left w:val="single" w:sz="4" w:space="0" w:color="auto"/>
              <w:bottom w:val="single" w:sz="4" w:space="0" w:color="auto"/>
              <w:right w:val="single" w:sz="4" w:space="0" w:color="auto"/>
            </w:tcBorders>
            <w:shd w:val="clear" w:color="auto" w:fill="FCD5B5"/>
            <w:vAlign w:val="center"/>
          </w:tcPr>
          <w:p w14:paraId="1483C5C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2025</w:t>
            </w:r>
          </w:p>
        </w:tc>
        <w:tc>
          <w:tcPr>
            <w:tcW w:w="992" w:type="dxa"/>
            <w:tcBorders>
              <w:top w:val="single" w:sz="4" w:space="0" w:color="auto"/>
              <w:left w:val="single" w:sz="4" w:space="0" w:color="auto"/>
              <w:bottom w:val="single" w:sz="4" w:space="0" w:color="auto"/>
              <w:right w:val="single" w:sz="4" w:space="0" w:color="auto"/>
            </w:tcBorders>
            <w:shd w:val="clear" w:color="auto" w:fill="FCD5B5"/>
            <w:vAlign w:val="center"/>
          </w:tcPr>
          <w:p w14:paraId="1E48597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2026</w:t>
            </w:r>
          </w:p>
        </w:tc>
        <w:tc>
          <w:tcPr>
            <w:tcW w:w="992" w:type="dxa"/>
            <w:tcBorders>
              <w:top w:val="single" w:sz="4" w:space="0" w:color="auto"/>
              <w:left w:val="single" w:sz="4" w:space="0" w:color="auto"/>
              <w:bottom w:val="single" w:sz="4" w:space="0" w:color="auto"/>
              <w:right w:val="single" w:sz="4" w:space="0" w:color="auto"/>
            </w:tcBorders>
            <w:shd w:val="clear" w:color="auto" w:fill="FCD5B5"/>
            <w:vAlign w:val="center"/>
          </w:tcPr>
          <w:p w14:paraId="589DC83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2027</w:t>
            </w:r>
          </w:p>
        </w:tc>
      </w:tr>
      <w:tr w:rsidR="00D6249E" w:rsidRPr="00D6249E" w14:paraId="652916E2" w14:textId="77777777" w:rsidTr="00D6249E">
        <w:trPr>
          <w:trHeight w:val="283"/>
        </w:trPr>
        <w:tc>
          <w:tcPr>
            <w:tcW w:w="2028" w:type="dxa"/>
            <w:tcBorders>
              <w:top w:val="single" w:sz="4" w:space="0" w:color="auto"/>
              <w:left w:val="single" w:sz="4" w:space="0" w:color="auto"/>
              <w:bottom w:val="single" w:sz="4" w:space="0" w:color="auto"/>
              <w:right w:val="single" w:sz="4" w:space="0" w:color="auto"/>
            </w:tcBorders>
            <w:vAlign w:val="center"/>
          </w:tcPr>
          <w:p w14:paraId="74A2EEC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PKB</w:t>
            </w:r>
          </w:p>
        </w:tc>
        <w:tc>
          <w:tcPr>
            <w:tcW w:w="1091" w:type="dxa"/>
            <w:tcBorders>
              <w:top w:val="single" w:sz="4" w:space="0" w:color="auto"/>
              <w:left w:val="single" w:sz="4" w:space="0" w:color="auto"/>
              <w:bottom w:val="single" w:sz="4" w:space="0" w:color="auto"/>
              <w:right w:val="single" w:sz="4" w:space="0" w:color="auto"/>
            </w:tcBorders>
            <w:vAlign w:val="center"/>
          </w:tcPr>
          <w:p w14:paraId="29AE92C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tcPr>
          <w:p w14:paraId="29425B9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3,40%</w:t>
            </w:r>
          </w:p>
        </w:tc>
        <w:tc>
          <w:tcPr>
            <w:tcW w:w="1134" w:type="dxa"/>
            <w:tcBorders>
              <w:top w:val="single" w:sz="4" w:space="0" w:color="auto"/>
              <w:left w:val="single" w:sz="4" w:space="0" w:color="auto"/>
              <w:bottom w:val="single" w:sz="4" w:space="0" w:color="auto"/>
              <w:right w:val="single" w:sz="4" w:space="0" w:color="auto"/>
            </w:tcBorders>
            <w:vAlign w:val="center"/>
          </w:tcPr>
          <w:p w14:paraId="71BFEA7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3,00%</w:t>
            </w:r>
          </w:p>
        </w:tc>
        <w:tc>
          <w:tcPr>
            <w:tcW w:w="992" w:type="dxa"/>
            <w:tcBorders>
              <w:top w:val="single" w:sz="4" w:space="0" w:color="auto"/>
              <w:left w:val="single" w:sz="4" w:space="0" w:color="auto"/>
              <w:bottom w:val="single" w:sz="4" w:space="0" w:color="auto"/>
              <w:right w:val="single" w:sz="4" w:space="0" w:color="auto"/>
            </w:tcBorders>
            <w:vAlign w:val="center"/>
          </w:tcPr>
          <w:p w14:paraId="6A92F62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vAlign w:val="center"/>
          </w:tcPr>
          <w:p w14:paraId="22FA1A0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3,00%</w:t>
            </w:r>
          </w:p>
        </w:tc>
        <w:tc>
          <w:tcPr>
            <w:tcW w:w="992" w:type="dxa"/>
            <w:tcBorders>
              <w:top w:val="single" w:sz="4" w:space="0" w:color="auto"/>
              <w:left w:val="single" w:sz="4" w:space="0" w:color="auto"/>
              <w:bottom w:val="single" w:sz="4" w:space="0" w:color="auto"/>
              <w:right w:val="single" w:sz="4" w:space="0" w:color="auto"/>
            </w:tcBorders>
            <w:vAlign w:val="center"/>
          </w:tcPr>
          <w:p w14:paraId="6FC61D1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3,10%</w:t>
            </w:r>
          </w:p>
        </w:tc>
        <w:tc>
          <w:tcPr>
            <w:tcW w:w="992" w:type="dxa"/>
            <w:tcBorders>
              <w:top w:val="single" w:sz="4" w:space="0" w:color="auto"/>
              <w:left w:val="single" w:sz="4" w:space="0" w:color="auto"/>
              <w:bottom w:val="single" w:sz="4" w:space="0" w:color="auto"/>
              <w:right w:val="single" w:sz="4" w:space="0" w:color="auto"/>
            </w:tcBorders>
            <w:vAlign w:val="center"/>
          </w:tcPr>
          <w:p w14:paraId="1E5605C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3,10%</w:t>
            </w:r>
          </w:p>
        </w:tc>
      </w:tr>
      <w:tr w:rsidR="00D6249E" w:rsidRPr="00D6249E" w14:paraId="520D5DF9" w14:textId="77777777" w:rsidTr="00D6249E">
        <w:trPr>
          <w:trHeight w:val="283"/>
        </w:trPr>
        <w:tc>
          <w:tcPr>
            <w:tcW w:w="2028" w:type="dxa"/>
            <w:tcBorders>
              <w:top w:val="single" w:sz="4" w:space="0" w:color="auto"/>
              <w:left w:val="single" w:sz="4" w:space="0" w:color="auto"/>
              <w:bottom w:val="single" w:sz="4" w:space="0" w:color="auto"/>
              <w:right w:val="single" w:sz="4" w:space="0" w:color="auto"/>
            </w:tcBorders>
            <w:vAlign w:val="center"/>
          </w:tcPr>
          <w:p w14:paraId="745FC9A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Inflacja</w:t>
            </w:r>
          </w:p>
        </w:tc>
        <w:tc>
          <w:tcPr>
            <w:tcW w:w="1091" w:type="dxa"/>
            <w:tcBorders>
              <w:top w:val="single" w:sz="4" w:space="0" w:color="auto"/>
              <w:left w:val="single" w:sz="4" w:space="0" w:color="auto"/>
              <w:bottom w:val="single" w:sz="4" w:space="0" w:color="auto"/>
              <w:right w:val="single" w:sz="4" w:space="0" w:color="auto"/>
            </w:tcBorders>
            <w:vAlign w:val="center"/>
          </w:tcPr>
          <w:p w14:paraId="19C7AE3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1C731D6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2,20%</w:t>
            </w:r>
          </w:p>
        </w:tc>
        <w:tc>
          <w:tcPr>
            <w:tcW w:w="1134" w:type="dxa"/>
            <w:tcBorders>
              <w:top w:val="single" w:sz="4" w:space="0" w:color="auto"/>
              <w:left w:val="single" w:sz="4" w:space="0" w:color="auto"/>
              <w:bottom w:val="single" w:sz="4" w:space="0" w:color="auto"/>
              <w:right w:val="single" w:sz="4" w:space="0" w:color="auto"/>
            </w:tcBorders>
            <w:vAlign w:val="center"/>
          </w:tcPr>
          <w:p w14:paraId="073C568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tcPr>
          <w:p w14:paraId="30CF7B6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2,50%</w:t>
            </w:r>
          </w:p>
        </w:tc>
        <w:tc>
          <w:tcPr>
            <w:tcW w:w="851" w:type="dxa"/>
            <w:tcBorders>
              <w:top w:val="single" w:sz="4" w:space="0" w:color="auto"/>
              <w:left w:val="single" w:sz="4" w:space="0" w:color="auto"/>
              <w:bottom w:val="single" w:sz="4" w:space="0" w:color="auto"/>
              <w:right w:val="single" w:sz="4" w:space="0" w:color="auto"/>
            </w:tcBorders>
            <w:vAlign w:val="center"/>
          </w:tcPr>
          <w:p w14:paraId="22BD6DB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2,50%</w:t>
            </w:r>
          </w:p>
        </w:tc>
        <w:tc>
          <w:tcPr>
            <w:tcW w:w="992" w:type="dxa"/>
            <w:tcBorders>
              <w:top w:val="single" w:sz="4" w:space="0" w:color="auto"/>
              <w:left w:val="single" w:sz="4" w:space="0" w:color="auto"/>
              <w:bottom w:val="single" w:sz="4" w:space="0" w:color="auto"/>
              <w:right w:val="single" w:sz="4" w:space="0" w:color="auto"/>
            </w:tcBorders>
            <w:vAlign w:val="center"/>
          </w:tcPr>
          <w:p w14:paraId="5826DCC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2,50%</w:t>
            </w:r>
          </w:p>
        </w:tc>
        <w:tc>
          <w:tcPr>
            <w:tcW w:w="992" w:type="dxa"/>
            <w:tcBorders>
              <w:top w:val="single" w:sz="4" w:space="0" w:color="auto"/>
              <w:left w:val="single" w:sz="4" w:space="0" w:color="auto"/>
              <w:bottom w:val="single" w:sz="4" w:space="0" w:color="auto"/>
              <w:right w:val="single" w:sz="4" w:space="0" w:color="auto"/>
            </w:tcBorders>
            <w:vAlign w:val="center"/>
          </w:tcPr>
          <w:p w14:paraId="65F062D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2,50%</w:t>
            </w:r>
          </w:p>
        </w:tc>
      </w:tr>
      <w:tr w:rsidR="00D6249E" w:rsidRPr="00D6249E" w14:paraId="4F4DD10D" w14:textId="77777777" w:rsidTr="00D6249E">
        <w:trPr>
          <w:trHeight w:val="283"/>
        </w:trPr>
        <w:tc>
          <w:tcPr>
            <w:tcW w:w="2028" w:type="dxa"/>
            <w:tcBorders>
              <w:top w:val="single" w:sz="4" w:space="0" w:color="auto"/>
              <w:left w:val="single" w:sz="4" w:space="0" w:color="auto"/>
              <w:bottom w:val="single" w:sz="4" w:space="0" w:color="auto"/>
              <w:right w:val="single" w:sz="4" w:space="0" w:color="auto"/>
            </w:tcBorders>
            <w:vAlign w:val="center"/>
          </w:tcPr>
          <w:p w14:paraId="65DB014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Wynagrodzenia</w:t>
            </w:r>
          </w:p>
        </w:tc>
        <w:tc>
          <w:tcPr>
            <w:tcW w:w="1091" w:type="dxa"/>
            <w:tcBorders>
              <w:top w:val="single" w:sz="4" w:space="0" w:color="auto"/>
              <w:left w:val="single" w:sz="4" w:space="0" w:color="auto"/>
              <w:bottom w:val="single" w:sz="4" w:space="0" w:color="auto"/>
              <w:right w:val="single" w:sz="4" w:space="0" w:color="auto"/>
            </w:tcBorders>
            <w:vAlign w:val="center"/>
          </w:tcPr>
          <w:p w14:paraId="1DCE041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0380091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1,90%</w:t>
            </w:r>
          </w:p>
        </w:tc>
        <w:tc>
          <w:tcPr>
            <w:tcW w:w="1134" w:type="dxa"/>
            <w:tcBorders>
              <w:top w:val="single" w:sz="4" w:space="0" w:color="auto"/>
              <w:left w:val="single" w:sz="4" w:space="0" w:color="auto"/>
              <w:bottom w:val="single" w:sz="4" w:space="0" w:color="auto"/>
              <w:right w:val="single" w:sz="4" w:space="0" w:color="auto"/>
            </w:tcBorders>
            <w:vAlign w:val="center"/>
          </w:tcPr>
          <w:p w14:paraId="61E9F20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2,20%</w:t>
            </w:r>
          </w:p>
        </w:tc>
        <w:tc>
          <w:tcPr>
            <w:tcW w:w="992" w:type="dxa"/>
            <w:tcBorders>
              <w:top w:val="single" w:sz="4" w:space="0" w:color="auto"/>
              <w:left w:val="single" w:sz="4" w:space="0" w:color="auto"/>
              <w:bottom w:val="single" w:sz="4" w:space="0" w:color="auto"/>
              <w:right w:val="single" w:sz="4" w:space="0" w:color="auto"/>
            </w:tcBorders>
            <w:vAlign w:val="center"/>
          </w:tcPr>
          <w:p w14:paraId="66F5D5B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2,70%</w:t>
            </w:r>
          </w:p>
        </w:tc>
        <w:tc>
          <w:tcPr>
            <w:tcW w:w="851" w:type="dxa"/>
            <w:tcBorders>
              <w:top w:val="single" w:sz="4" w:space="0" w:color="auto"/>
              <w:left w:val="single" w:sz="4" w:space="0" w:color="auto"/>
              <w:bottom w:val="single" w:sz="4" w:space="0" w:color="auto"/>
              <w:right w:val="single" w:sz="4" w:space="0" w:color="auto"/>
            </w:tcBorders>
            <w:vAlign w:val="center"/>
          </w:tcPr>
          <w:p w14:paraId="0015E1D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2,90%</w:t>
            </w:r>
          </w:p>
        </w:tc>
        <w:tc>
          <w:tcPr>
            <w:tcW w:w="992" w:type="dxa"/>
            <w:tcBorders>
              <w:top w:val="single" w:sz="4" w:space="0" w:color="auto"/>
              <w:left w:val="single" w:sz="4" w:space="0" w:color="auto"/>
              <w:bottom w:val="single" w:sz="4" w:space="0" w:color="auto"/>
              <w:right w:val="single" w:sz="4" w:space="0" w:color="auto"/>
            </w:tcBorders>
            <w:vAlign w:val="center"/>
          </w:tcPr>
          <w:p w14:paraId="6286E78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3,00%</w:t>
            </w:r>
          </w:p>
        </w:tc>
        <w:tc>
          <w:tcPr>
            <w:tcW w:w="992" w:type="dxa"/>
            <w:tcBorders>
              <w:top w:val="single" w:sz="4" w:space="0" w:color="auto"/>
              <w:left w:val="single" w:sz="4" w:space="0" w:color="auto"/>
              <w:bottom w:val="single" w:sz="4" w:space="0" w:color="auto"/>
              <w:right w:val="single" w:sz="4" w:space="0" w:color="auto"/>
            </w:tcBorders>
            <w:vAlign w:val="center"/>
          </w:tcPr>
          <w:p w14:paraId="6C6DE74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3,00%</w:t>
            </w:r>
          </w:p>
        </w:tc>
      </w:tr>
      <w:tr w:rsidR="00D6249E" w:rsidRPr="00D6249E" w14:paraId="5A57E708" w14:textId="77777777" w:rsidTr="00D6249E">
        <w:trPr>
          <w:trHeight w:val="283"/>
        </w:trPr>
        <w:tc>
          <w:tcPr>
            <w:tcW w:w="2028" w:type="dxa"/>
            <w:tcBorders>
              <w:top w:val="single" w:sz="4" w:space="0" w:color="auto"/>
              <w:left w:val="single" w:sz="4" w:space="0" w:color="auto"/>
              <w:bottom w:val="single" w:sz="4" w:space="0" w:color="auto"/>
              <w:right w:val="single" w:sz="4" w:space="0" w:color="auto"/>
            </w:tcBorders>
            <w:shd w:val="clear" w:color="auto" w:fill="FCD5B5"/>
            <w:vAlign w:val="center"/>
          </w:tcPr>
          <w:p w14:paraId="7759C62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Wskaźnik</w:t>
            </w:r>
          </w:p>
        </w:tc>
        <w:tc>
          <w:tcPr>
            <w:tcW w:w="1091" w:type="dxa"/>
            <w:tcBorders>
              <w:top w:val="single" w:sz="4" w:space="0" w:color="auto"/>
              <w:left w:val="single" w:sz="4" w:space="0" w:color="auto"/>
              <w:bottom w:val="single" w:sz="4" w:space="0" w:color="auto"/>
              <w:right w:val="single" w:sz="4" w:space="0" w:color="auto"/>
            </w:tcBorders>
            <w:shd w:val="clear" w:color="auto" w:fill="FCD5B5"/>
            <w:vAlign w:val="center"/>
          </w:tcPr>
          <w:p w14:paraId="4A13854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2028</w:t>
            </w:r>
          </w:p>
        </w:tc>
        <w:tc>
          <w:tcPr>
            <w:tcW w:w="1134" w:type="dxa"/>
            <w:tcBorders>
              <w:top w:val="single" w:sz="4" w:space="0" w:color="auto"/>
              <w:left w:val="single" w:sz="4" w:space="0" w:color="auto"/>
              <w:bottom w:val="single" w:sz="4" w:space="0" w:color="auto"/>
              <w:right w:val="single" w:sz="4" w:space="0" w:color="auto"/>
            </w:tcBorders>
            <w:shd w:val="clear" w:color="auto" w:fill="FCD5B5"/>
            <w:vAlign w:val="center"/>
          </w:tcPr>
          <w:p w14:paraId="69EC0CB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2029</w:t>
            </w:r>
          </w:p>
        </w:tc>
        <w:tc>
          <w:tcPr>
            <w:tcW w:w="4961" w:type="dxa"/>
            <w:gridSpan w:val="5"/>
            <w:vMerge w:val="restart"/>
            <w:tcBorders>
              <w:top w:val="single" w:sz="4" w:space="0" w:color="auto"/>
              <w:left w:val="nil"/>
              <w:bottom w:val="single" w:sz="4" w:space="0" w:color="auto"/>
              <w:right w:val="nil"/>
            </w:tcBorders>
            <w:tcMar>
              <w:left w:w="0" w:type="dxa"/>
              <w:right w:w="0" w:type="dxa"/>
            </w:tcMar>
            <w:vAlign w:val="center"/>
          </w:tcPr>
          <w:p w14:paraId="1FB0BD3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p>
        </w:tc>
      </w:tr>
      <w:tr w:rsidR="00D6249E" w:rsidRPr="00D6249E" w14:paraId="7CEF63BE" w14:textId="77777777" w:rsidTr="00D6249E">
        <w:trPr>
          <w:trHeight w:val="283"/>
        </w:trPr>
        <w:tc>
          <w:tcPr>
            <w:tcW w:w="2028" w:type="dxa"/>
            <w:tcBorders>
              <w:top w:val="single" w:sz="4" w:space="0" w:color="auto"/>
              <w:left w:val="single" w:sz="4" w:space="0" w:color="auto"/>
              <w:bottom w:val="single" w:sz="4" w:space="0" w:color="auto"/>
              <w:right w:val="single" w:sz="4" w:space="0" w:color="auto"/>
            </w:tcBorders>
            <w:vAlign w:val="center"/>
          </w:tcPr>
          <w:p w14:paraId="7947080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PKB</w:t>
            </w:r>
          </w:p>
        </w:tc>
        <w:tc>
          <w:tcPr>
            <w:tcW w:w="1091" w:type="dxa"/>
            <w:tcBorders>
              <w:top w:val="single" w:sz="4" w:space="0" w:color="auto"/>
              <w:left w:val="single" w:sz="4" w:space="0" w:color="auto"/>
              <w:bottom w:val="single" w:sz="4" w:space="0" w:color="auto"/>
              <w:right w:val="single" w:sz="4" w:space="0" w:color="auto"/>
            </w:tcBorders>
            <w:vAlign w:val="center"/>
          </w:tcPr>
          <w:p w14:paraId="350AEFF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7FA5D72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2,80%</w:t>
            </w:r>
          </w:p>
        </w:tc>
        <w:tc>
          <w:tcPr>
            <w:tcW w:w="4961" w:type="dxa"/>
            <w:gridSpan w:val="5"/>
            <w:vMerge/>
            <w:tcBorders>
              <w:top w:val="nil"/>
              <w:left w:val="nil"/>
              <w:bottom w:val="single" w:sz="4" w:space="0" w:color="auto"/>
              <w:right w:val="nil"/>
            </w:tcBorders>
            <w:tcMar>
              <w:left w:w="0" w:type="dxa"/>
            </w:tcMar>
            <w:vAlign w:val="center"/>
          </w:tcPr>
          <w:p w14:paraId="183D2634" w14:textId="77777777" w:rsidR="00D6249E" w:rsidRPr="00D6249E" w:rsidRDefault="00D6249E" w:rsidP="00D6249E">
            <w:pPr>
              <w:widowControl w:val="0"/>
              <w:autoSpaceDE w:val="0"/>
              <w:autoSpaceDN w:val="0"/>
              <w:adjustRightInd w:val="0"/>
              <w:rPr>
                <w:rFonts w:eastAsiaTheme="minorHAnsi"/>
                <w:sz w:val="22"/>
                <w:szCs w:val="22"/>
                <w:lang w:eastAsia="en-US"/>
              </w:rPr>
            </w:pPr>
          </w:p>
        </w:tc>
      </w:tr>
      <w:tr w:rsidR="00D6249E" w:rsidRPr="00D6249E" w14:paraId="4C18DB3E" w14:textId="77777777" w:rsidTr="00D6249E">
        <w:trPr>
          <w:trHeight w:val="283"/>
        </w:trPr>
        <w:tc>
          <w:tcPr>
            <w:tcW w:w="2028" w:type="dxa"/>
            <w:tcBorders>
              <w:top w:val="single" w:sz="4" w:space="0" w:color="auto"/>
              <w:left w:val="single" w:sz="4" w:space="0" w:color="auto"/>
              <w:bottom w:val="single" w:sz="4" w:space="0" w:color="auto"/>
              <w:right w:val="single" w:sz="4" w:space="0" w:color="auto"/>
            </w:tcBorders>
            <w:vAlign w:val="center"/>
          </w:tcPr>
          <w:p w14:paraId="06D25B7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Inflacja</w:t>
            </w:r>
          </w:p>
        </w:tc>
        <w:tc>
          <w:tcPr>
            <w:tcW w:w="1091" w:type="dxa"/>
            <w:tcBorders>
              <w:top w:val="single" w:sz="4" w:space="0" w:color="auto"/>
              <w:left w:val="single" w:sz="4" w:space="0" w:color="auto"/>
              <w:bottom w:val="single" w:sz="4" w:space="0" w:color="auto"/>
              <w:right w:val="single" w:sz="4" w:space="0" w:color="auto"/>
            </w:tcBorders>
            <w:vAlign w:val="center"/>
          </w:tcPr>
          <w:p w14:paraId="4F0BF6B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1904A87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2,50%</w:t>
            </w:r>
          </w:p>
        </w:tc>
        <w:tc>
          <w:tcPr>
            <w:tcW w:w="4961" w:type="dxa"/>
            <w:gridSpan w:val="5"/>
            <w:vMerge/>
            <w:tcBorders>
              <w:top w:val="nil"/>
              <w:left w:val="nil"/>
              <w:bottom w:val="single" w:sz="4" w:space="0" w:color="auto"/>
              <w:right w:val="nil"/>
            </w:tcBorders>
            <w:tcMar>
              <w:left w:w="0" w:type="dxa"/>
            </w:tcMar>
            <w:vAlign w:val="center"/>
          </w:tcPr>
          <w:p w14:paraId="62BEC859" w14:textId="77777777" w:rsidR="00D6249E" w:rsidRPr="00D6249E" w:rsidRDefault="00D6249E" w:rsidP="00D6249E">
            <w:pPr>
              <w:widowControl w:val="0"/>
              <w:autoSpaceDE w:val="0"/>
              <w:autoSpaceDN w:val="0"/>
              <w:adjustRightInd w:val="0"/>
              <w:rPr>
                <w:rFonts w:eastAsiaTheme="minorHAnsi"/>
                <w:sz w:val="22"/>
                <w:szCs w:val="22"/>
                <w:lang w:eastAsia="en-US"/>
              </w:rPr>
            </w:pPr>
          </w:p>
        </w:tc>
      </w:tr>
      <w:tr w:rsidR="00D6249E" w:rsidRPr="00D6249E" w14:paraId="1DF1F0D6" w14:textId="77777777" w:rsidTr="00D6249E">
        <w:trPr>
          <w:trHeight w:val="283"/>
        </w:trPr>
        <w:tc>
          <w:tcPr>
            <w:tcW w:w="2028" w:type="dxa"/>
            <w:tcBorders>
              <w:top w:val="single" w:sz="4" w:space="0" w:color="auto"/>
              <w:left w:val="single" w:sz="4" w:space="0" w:color="auto"/>
              <w:bottom w:val="single" w:sz="4" w:space="0" w:color="auto"/>
              <w:right w:val="single" w:sz="4" w:space="0" w:color="auto"/>
            </w:tcBorders>
            <w:vAlign w:val="center"/>
          </w:tcPr>
          <w:p w14:paraId="709FBC5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Wynagrodzenia</w:t>
            </w:r>
          </w:p>
        </w:tc>
        <w:tc>
          <w:tcPr>
            <w:tcW w:w="1091" w:type="dxa"/>
            <w:tcBorders>
              <w:top w:val="single" w:sz="4" w:space="0" w:color="auto"/>
              <w:left w:val="single" w:sz="4" w:space="0" w:color="auto"/>
              <w:bottom w:val="single" w:sz="4" w:space="0" w:color="auto"/>
              <w:right w:val="single" w:sz="4" w:space="0" w:color="auto"/>
            </w:tcBorders>
            <w:vAlign w:val="center"/>
          </w:tcPr>
          <w:p w14:paraId="3B09B8F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7F08ACE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3,00%</w:t>
            </w:r>
          </w:p>
        </w:tc>
        <w:tc>
          <w:tcPr>
            <w:tcW w:w="4961" w:type="dxa"/>
            <w:gridSpan w:val="5"/>
            <w:vMerge/>
            <w:tcBorders>
              <w:top w:val="nil"/>
              <w:left w:val="nil"/>
              <w:bottom w:val="single" w:sz="4" w:space="0" w:color="auto"/>
              <w:right w:val="nil"/>
            </w:tcBorders>
            <w:tcMar>
              <w:left w:w="0" w:type="dxa"/>
            </w:tcMar>
            <w:vAlign w:val="center"/>
          </w:tcPr>
          <w:p w14:paraId="0ADEBC7E" w14:textId="77777777" w:rsidR="00D6249E" w:rsidRPr="00D6249E" w:rsidRDefault="00D6249E" w:rsidP="00D6249E">
            <w:pPr>
              <w:widowControl w:val="0"/>
              <w:autoSpaceDE w:val="0"/>
              <w:autoSpaceDN w:val="0"/>
              <w:adjustRightInd w:val="0"/>
              <w:rPr>
                <w:rFonts w:eastAsiaTheme="minorHAnsi"/>
                <w:sz w:val="22"/>
                <w:szCs w:val="22"/>
                <w:lang w:eastAsia="en-US"/>
              </w:rPr>
            </w:pPr>
          </w:p>
        </w:tc>
      </w:tr>
    </w:tbl>
    <w:p w14:paraId="65B10B05" w14:textId="32652A9C" w:rsid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r w:rsidRPr="00D6249E">
        <w:rPr>
          <w:rFonts w:eastAsiaTheme="minorHAnsi"/>
          <w:sz w:val="22"/>
          <w:szCs w:val="22"/>
          <w:lang w:eastAsia="en-US"/>
        </w:rPr>
        <w:t>Źródło: Wytyczne dotyczące stosowania jednolitych wskaźników makroekonomicznych będących podstawą oszacowania skutków finansowych projektowanych ustaw. Aktualizacja – 19 lipca 2020 r., (www.mf.gov.pl), Warszawa 2020.</w:t>
      </w:r>
    </w:p>
    <w:p w14:paraId="6E2062A8" w14:textId="6B75CBE0" w:rsidR="008D185D" w:rsidRDefault="008D185D"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p>
    <w:p w14:paraId="211B5287" w14:textId="77777777" w:rsidR="008D185D" w:rsidRPr="00D6249E" w:rsidRDefault="008D185D"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p>
    <w:p w14:paraId="5400B16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Prognozę oparto o następujące założenia:</w:t>
      </w:r>
    </w:p>
    <w:p w14:paraId="39A1CC07" w14:textId="0019E084" w:rsidR="00D6249E" w:rsidRPr="00D6249E" w:rsidRDefault="00D6249E" w:rsidP="00D6249E">
      <w:pPr>
        <w:widowControl w:val="0"/>
        <w:numPr>
          <w:ilvl w:val="0"/>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lang w:eastAsia="en-US"/>
        </w:rPr>
        <w:t>dla roku 2021 przyjęto wartości wynikające z projektu budżetu;</w:t>
      </w:r>
    </w:p>
    <w:p w14:paraId="0F1CF0B4" w14:textId="77777777" w:rsidR="00D6249E" w:rsidRPr="00D6249E" w:rsidRDefault="00D6249E" w:rsidP="00D6249E">
      <w:pPr>
        <w:widowControl w:val="0"/>
        <w:numPr>
          <w:ilvl w:val="0"/>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lang w:eastAsia="en-US"/>
        </w:rPr>
        <w:t>dla lat 2022-2029 prognozę wykonano poprzez indeksację o wskaźniki dynamiki inflacji, dynamiki PKB oraz dynamiki realnej wynagrodzeń brutto.</w:t>
      </w:r>
    </w:p>
    <w:p w14:paraId="644AD9C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Podzielenie prognozy w powyższy sposób pozwala na realną ocenę możliwości inwestycyjno-kredytowych gminy.</w:t>
      </w:r>
    </w:p>
    <w:p w14:paraId="06BA413B" w14:textId="3459B61B" w:rsidR="008D185D"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Zgodnie z przyjętym założeniem, dochody i wydatki bieżące w roku 2021 uwzględnione w WPF wynikają z wartości zawartych w projekcie budżetu na 2021 rok. Od 2022 roku dochody i wydatki bieżące ustalono za pomocą wskaźników inflacji, wskaźnika dynamiki PKB oraz wskaźnika dynamiki realnej wynagrodzeń brutto. W tym celu, posłużono się metodą indeksacji wartości bazowych o odpowiednio przypisany dla każdej kategorii budżetowej wskaźnik. Waga zmiennej makroekonomicznej oznacza w jakim stopniu dochody lub wydatki zależą od poziomu wskaźnika z danego roku. Indeksowana zostaje wartość na rok przyszły.</w:t>
      </w:r>
    </w:p>
    <w:p w14:paraId="70ABFDA7" w14:textId="77777777" w:rsidR="008D185D" w:rsidRPr="00D6249E" w:rsidRDefault="008D185D"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p>
    <w:p w14:paraId="5006E7A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lastRenderedPageBreak/>
        <w:t>Sposób indeksacji za pomocą wag przedstawia poniższy wzór:</w:t>
      </w:r>
    </w:p>
    <w:p w14:paraId="33F223A0" w14:textId="181ECD49"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center"/>
        <w:rPr>
          <w:rFonts w:eastAsiaTheme="minorHAnsi"/>
          <w:lang w:eastAsia="en-US"/>
        </w:rPr>
      </w:pPr>
      <w:r w:rsidRPr="00D6249E">
        <w:rPr>
          <w:rFonts w:eastAsiaTheme="minorHAnsi"/>
          <w:noProof/>
          <w:lang w:eastAsia="en-US"/>
        </w:rPr>
        <w:drawing>
          <wp:inline distT="0" distB="0" distL="0" distR="0" wp14:anchorId="25E464F8" wp14:editId="02E14B9F">
            <wp:extent cx="4114800" cy="1524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52400"/>
                    </a:xfrm>
                    <a:prstGeom prst="rect">
                      <a:avLst/>
                    </a:prstGeom>
                    <a:noFill/>
                    <a:ln>
                      <a:noFill/>
                    </a:ln>
                  </pic:spPr>
                </pic:pic>
              </a:graphicData>
            </a:graphic>
          </wp:inline>
        </w:drawing>
      </w:r>
    </w:p>
    <w:p w14:paraId="6B4D73C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lang w:eastAsia="en-US"/>
        </w:rPr>
        <w:t>gdzie:</w:t>
      </w:r>
    </w:p>
    <w:p w14:paraId="1560BF5E" w14:textId="1AD112BA"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noProof/>
          <w:lang w:eastAsia="en-US"/>
        </w:rPr>
        <w:drawing>
          <wp:inline distT="0" distB="0" distL="0" distR="0" wp14:anchorId="46023265" wp14:editId="16677A72">
            <wp:extent cx="121920" cy="152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D6249E">
        <w:rPr>
          <w:rFonts w:eastAsiaTheme="minorHAnsi"/>
          <w:lang w:eastAsia="en-US"/>
        </w:rPr>
        <w:t xml:space="preserve"> - wartość prognozowana danej kategorii dochodów bądź wydatków budżetowych;</w:t>
      </w:r>
    </w:p>
    <w:p w14:paraId="3B9A33AB" w14:textId="7EB90A7B"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noProof/>
          <w:lang w:eastAsia="en-US"/>
        </w:rPr>
        <w:drawing>
          <wp:inline distT="0" distB="0" distL="0" distR="0" wp14:anchorId="5D541E49" wp14:editId="5C3F2D48">
            <wp:extent cx="121920" cy="152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D6249E">
        <w:rPr>
          <w:rFonts w:eastAsiaTheme="minorHAnsi"/>
          <w:lang w:eastAsia="en-US"/>
        </w:rPr>
        <w:t xml:space="preserve"> - wartość danej kategorii dochodów bądź wydatków budżetowych w roku poprzedzającym;</w:t>
      </w:r>
    </w:p>
    <w:p w14:paraId="25BCFBA4" w14:textId="2C599CE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noProof/>
          <w:lang w:eastAsia="en-US"/>
        </w:rPr>
        <w:drawing>
          <wp:inline distT="0" distB="0" distL="0" distR="0" wp14:anchorId="7F1ACF4D" wp14:editId="7B3E9EA8">
            <wp:extent cx="236220" cy="152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2400"/>
                    </a:xfrm>
                    <a:prstGeom prst="rect">
                      <a:avLst/>
                    </a:prstGeom>
                    <a:noFill/>
                    <a:ln>
                      <a:noFill/>
                    </a:ln>
                  </pic:spPr>
                </pic:pic>
              </a:graphicData>
            </a:graphic>
          </wp:inline>
        </w:drawing>
      </w:r>
      <w:r w:rsidRPr="00D6249E">
        <w:rPr>
          <w:rFonts w:eastAsiaTheme="minorHAnsi"/>
          <w:lang w:eastAsia="en-US"/>
        </w:rPr>
        <w:t xml:space="preserve"> - wartość wskaźnika inflacji w roku prognozowanym;</w:t>
      </w:r>
    </w:p>
    <w:p w14:paraId="5E0E9838" w14:textId="07B90BFF"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noProof/>
          <w:lang w:eastAsia="en-US"/>
        </w:rPr>
        <w:drawing>
          <wp:inline distT="0" distB="0" distL="0" distR="0" wp14:anchorId="428FB5AF" wp14:editId="1EED112F">
            <wp:extent cx="266700" cy="152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sidRPr="00D6249E">
        <w:rPr>
          <w:rFonts w:eastAsiaTheme="minorHAnsi"/>
          <w:lang w:eastAsia="en-US"/>
        </w:rPr>
        <w:t xml:space="preserve"> - waga przypisana wskaźnikowi CPI, będąca jego rzeczywistym wpływem na prognozowaną kategorię;</w:t>
      </w:r>
    </w:p>
    <w:p w14:paraId="70F28DC8" w14:textId="7B1C43AC"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noProof/>
          <w:lang w:eastAsia="en-US"/>
        </w:rPr>
        <w:drawing>
          <wp:inline distT="0" distB="0" distL="0" distR="0" wp14:anchorId="1E39C608" wp14:editId="53EE616C">
            <wp:extent cx="297180" cy="15240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 cy="152400"/>
                    </a:xfrm>
                    <a:prstGeom prst="rect">
                      <a:avLst/>
                    </a:prstGeom>
                    <a:noFill/>
                    <a:ln>
                      <a:noFill/>
                    </a:ln>
                  </pic:spPr>
                </pic:pic>
              </a:graphicData>
            </a:graphic>
          </wp:inline>
        </w:drawing>
      </w:r>
      <w:r w:rsidRPr="00D6249E">
        <w:rPr>
          <w:rFonts w:eastAsiaTheme="minorHAnsi"/>
          <w:lang w:eastAsia="en-US"/>
        </w:rPr>
        <w:t xml:space="preserve"> - wskaźnik dynamiki PKB;</w:t>
      </w:r>
    </w:p>
    <w:p w14:paraId="24363203" w14:textId="6A629C2B"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noProof/>
          <w:lang w:eastAsia="en-US"/>
        </w:rPr>
        <w:drawing>
          <wp:inline distT="0" distB="0" distL="0" distR="0" wp14:anchorId="296ED103" wp14:editId="5881107E">
            <wp:extent cx="304800" cy="152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D6249E">
        <w:rPr>
          <w:rFonts w:eastAsiaTheme="minorHAnsi"/>
          <w:lang w:eastAsia="en-US"/>
        </w:rPr>
        <w:t xml:space="preserve"> - waga przypisana wskaźnikowi dynamiki PKB, będąca jego rzeczywistym wpływem na prognozowaną kategorię;</w:t>
      </w:r>
    </w:p>
    <w:p w14:paraId="4E295669" w14:textId="6AE7034D"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noProof/>
          <w:lang w:eastAsia="en-US"/>
        </w:rPr>
        <w:drawing>
          <wp:inline distT="0" distB="0" distL="0" distR="0" wp14:anchorId="1B552B18" wp14:editId="20DA1F14">
            <wp:extent cx="228600"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6249E">
        <w:rPr>
          <w:rFonts w:eastAsiaTheme="minorHAnsi"/>
          <w:lang w:eastAsia="en-US"/>
        </w:rPr>
        <w:t xml:space="preserve"> - wskaźnik dynamiki realnej wynagrodzeń brutto w gospodarce narodowej;</w:t>
      </w:r>
    </w:p>
    <w:p w14:paraId="22E4D243" w14:textId="6376808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noProof/>
          <w:lang w:eastAsia="en-US"/>
        </w:rPr>
        <w:drawing>
          <wp:inline distT="0" distB="0" distL="0" distR="0" wp14:anchorId="2D630ABE" wp14:editId="2A499219">
            <wp:extent cx="266700" cy="152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sidRPr="00D6249E">
        <w:rPr>
          <w:rFonts w:eastAsiaTheme="minorHAnsi"/>
          <w:lang w:eastAsia="en-US"/>
        </w:rPr>
        <w:t xml:space="preserve"> - waga przypisana wskaźnikowi dynamiki WB, będąca jego rzeczywistym wpływem na prognozowaną kategorię.</w:t>
      </w:r>
    </w:p>
    <w:p w14:paraId="3F631F3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b/>
          <w:bCs/>
          <w:lang w:eastAsia="en-US"/>
        </w:rPr>
        <w:t>2. Dochody</w:t>
      </w:r>
    </w:p>
    <w:p w14:paraId="58B0863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Prognozy dochodów Gminy Duszniki dokonano w podziałach merytorycznych, a następnie sklasyfikowano w podziały wymagane ustawowo. Podział merytoryczny został sporządzony za pomocą paragrafów klasyfikacji budżetowej i objął dochody bieżące i majątkowe.</w:t>
      </w:r>
    </w:p>
    <w:p w14:paraId="071B0AD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Dochody bieżące prognozowano w podziale na:</w:t>
      </w:r>
    </w:p>
    <w:p w14:paraId="337C69F2" w14:textId="77777777" w:rsidR="00D6249E" w:rsidRPr="00D6249E" w:rsidRDefault="00D6249E" w:rsidP="00D6249E">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eastAsiaTheme="minorHAnsi"/>
          <w:lang w:eastAsia="en-US"/>
        </w:rPr>
      </w:pPr>
      <w:r w:rsidRPr="00D6249E">
        <w:rPr>
          <w:rFonts w:eastAsiaTheme="minorHAnsi"/>
          <w:lang w:eastAsia="en-US"/>
        </w:rPr>
        <w:t>dochody z tytułu udziału we wpływach z podatku dochodowego od osób fizycznych;</w:t>
      </w:r>
    </w:p>
    <w:p w14:paraId="46F94274" w14:textId="77777777" w:rsidR="00D6249E" w:rsidRPr="00D6249E" w:rsidRDefault="00D6249E" w:rsidP="00D6249E">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eastAsiaTheme="minorHAnsi"/>
          <w:lang w:eastAsia="en-US"/>
        </w:rPr>
      </w:pPr>
      <w:r w:rsidRPr="00D6249E">
        <w:rPr>
          <w:rFonts w:eastAsiaTheme="minorHAnsi"/>
          <w:lang w:eastAsia="en-US"/>
        </w:rPr>
        <w:t>dochody z tytułu udziału we wpływach z podatku dochodowego od osób prawnych;</w:t>
      </w:r>
    </w:p>
    <w:p w14:paraId="6377384D" w14:textId="77777777" w:rsidR="00D6249E" w:rsidRPr="00D6249E" w:rsidRDefault="00D6249E" w:rsidP="00D6249E">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eastAsiaTheme="minorHAnsi"/>
          <w:lang w:eastAsia="en-US"/>
        </w:rPr>
      </w:pPr>
      <w:r w:rsidRPr="00D6249E">
        <w:rPr>
          <w:rFonts w:eastAsiaTheme="minorHAnsi"/>
          <w:lang w:eastAsia="en-US"/>
        </w:rPr>
        <w:t>subwencję ogólną;</w:t>
      </w:r>
    </w:p>
    <w:p w14:paraId="6FB7CBD8" w14:textId="77777777" w:rsidR="00D6249E" w:rsidRPr="00D6249E" w:rsidRDefault="00D6249E" w:rsidP="00D6249E">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eastAsiaTheme="minorHAnsi"/>
          <w:lang w:eastAsia="en-US"/>
        </w:rPr>
      </w:pPr>
      <w:r w:rsidRPr="00D6249E">
        <w:rPr>
          <w:rFonts w:eastAsiaTheme="minorHAnsi"/>
          <w:lang w:eastAsia="en-US"/>
        </w:rPr>
        <w:t>dotacje i środki przeznaczone na cele bieżące;</w:t>
      </w:r>
    </w:p>
    <w:p w14:paraId="7914108E" w14:textId="77777777" w:rsidR="00D6249E" w:rsidRPr="00D6249E" w:rsidRDefault="00D6249E" w:rsidP="00D6249E">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pozostałe dochody (m. in.: podatki i opłaty lokalne, grzywny i kary pieniężne, wpływy z usług, odsetki od środków na rachunkach bankowych), w tym: z podatku od nieruchomości.</w:t>
      </w:r>
    </w:p>
    <w:p w14:paraId="11CC17C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Dochody majątkowe prognozowano w podziale na:</w:t>
      </w:r>
    </w:p>
    <w:p w14:paraId="5DB97221" w14:textId="77777777" w:rsidR="00D6249E" w:rsidRPr="00D6249E" w:rsidRDefault="00D6249E" w:rsidP="00D6249E">
      <w:pPr>
        <w:widowControl w:val="0"/>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eastAsiaTheme="minorHAnsi"/>
          <w:lang w:eastAsia="en-US"/>
        </w:rPr>
      </w:pPr>
      <w:r w:rsidRPr="00D6249E">
        <w:rPr>
          <w:rFonts w:eastAsiaTheme="minorHAnsi"/>
          <w:lang w:eastAsia="en-US"/>
        </w:rPr>
        <w:t>dochody ze sprzedaży majątku;</w:t>
      </w:r>
    </w:p>
    <w:p w14:paraId="2E5C3C59" w14:textId="691A8852" w:rsidR="00D6249E" w:rsidRDefault="00D6249E" w:rsidP="00D6249E">
      <w:pPr>
        <w:widowControl w:val="0"/>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dotacje i środki przeznaczone na inwestycje;</w:t>
      </w:r>
    </w:p>
    <w:p w14:paraId="39ECA1E3" w14:textId="77777777" w:rsidR="00D6249E" w:rsidRPr="00D6249E" w:rsidRDefault="00D6249E" w:rsidP="00D6249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left="1080"/>
        <w:jc w:val="both"/>
        <w:rPr>
          <w:rFonts w:eastAsiaTheme="minorHAnsi"/>
          <w:lang w:eastAsia="en-US"/>
        </w:rPr>
      </w:pPr>
    </w:p>
    <w:p w14:paraId="2383EC7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b/>
          <w:bCs/>
          <w:lang w:eastAsia="en-US"/>
        </w:rPr>
        <w:t>2.1. Dochody bieżące</w:t>
      </w:r>
    </w:p>
    <w:p w14:paraId="171250D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Uwzględniając dotychczasowe kształtowanie się dochodów budżetu Gminy Duszniki oraz przewidywania na następne lata, w poszczególnych kategoriach dochodów bieżących posłużono się metodą indeksacji wartości bazowych o odpowiednio przypisany dla każdej kategorii budżetowej wskaźnik, za pomocą następujących wag:</w:t>
      </w:r>
    </w:p>
    <w:p w14:paraId="34B32A6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sz w:val="22"/>
          <w:szCs w:val="22"/>
          <w:lang w:eastAsia="en-US"/>
        </w:rPr>
      </w:pPr>
      <w:r w:rsidRPr="00D6249E">
        <w:rPr>
          <w:rFonts w:eastAsiaTheme="minorHAnsi"/>
          <w:b/>
          <w:bCs/>
          <w:sz w:val="22"/>
          <w:szCs w:val="22"/>
          <w:lang w:eastAsia="en-US"/>
        </w:rPr>
        <w:lastRenderedPageBreak/>
        <w:t>Tabela 2. Wagi dla danych makroekonomicznych przyjęte do wyliczeń prognozy dochodów bieżących</w:t>
      </w:r>
    </w:p>
    <w:tbl>
      <w:tblPr>
        <w:tblW w:w="0" w:type="auto"/>
        <w:tblInd w:w="-5" w:type="dxa"/>
        <w:tblLayout w:type="fixed"/>
        <w:tblCellMar>
          <w:left w:w="10" w:type="dxa"/>
          <w:right w:w="10" w:type="dxa"/>
        </w:tblCellMar>
        <w:tblLook w:val="0000" w:firstRow="0" w:lastRow="0" w:firstColumn="0" w:lastColumn="0" w:noHBand="0" w:noVBand="0"/>
      </w:tblPr>
      <w:tblGrid>
        <w:gridCol w:w="2400"/>
        <w:gridCol w:w="2400"/>
        <w:gridCol w:w="2400"/>
      </w:tblGrid>
      <w:tr w:rsidR="00D6249E" w:rsidRPr="00D6249E" w14:paraId="7C70C81A" w14:textId="77777777">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FCD5B5"/>
            <w:vAlign w:val="bottom"/>
          </w:tcPr>
          <w:p w14:paraId="586DBDE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Wyszczególnienie</w:t>
            </w:r>
          </w:p>
        </w:tc>
        <w:tc>
          <w:tcPr>
            <w:tcW w:w="2400" w:type="dxa"/>
            <w:tcBorders>
              <w:top w:val="single" w:sz="4" w:space="0" w:color="auto"/>
              <w:left w:val="single" w:sz="4" w:space="0" w:color="auto"/>
              <w:bottom w:val="single" w:sz="4" w:space="0" w:color="auto"/>
              <w:right w:val="single" w:sz="4" w:space="0" w:color="auto"/>
            </w:tcBorders>
            <w:shd w:val="clear" w:color="auto" w:fill="FCD5B5"/>
            <w:vAlign w:val="bottom"/>
          </w:tcPr>
          <w:p w14:paraId="051A372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INF</w:t>
            </w:r>
          </w:p>
        </w:tc>
        <w:tc>
          <w:tcPr>
            <w:tcW w:w="2400" w:type="dxa"/>
            <w:tcBorders>
              <w:top w:val="single" w:sz="4" w:space="0" w:color="auto"/>
              <w:left w:val="single" w:sz="4" w:space="0" w:color="auto"/>
              <w:bottom w:val="single" w:sz="4" w:space="0" w:color="auto"/>
              <w:right w:val="single" w:sz="4" w:space="0" w:color="auto"/>
            </w:tcBorders>
            <w:shd w:val="clear" w:color="auto" w:fill="FCD5B5"/>
            <w:vAlign w:val="bottom"/>
          </w:tcPr>
          <w:p w14:paraId="59C1D76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PKB</w:t>
            </w:r>
          </w:p>
        </w:tc>
      </w:tr>
      <w:tr w:rsidR="00D6249E" w:rsidRPr="00D6249E" w14:paraId="18B14D61" w14:textId="77777777">
        <w:trPr>
          <w:trHeight w:val="283"/>
        </w:trPr>
        <w:tc>
          <w:tcPr>
            <w:tcW w:w="2400" w:type="dxa"/>
            <w:tcBorders>
              <w:top w:val="single" w:sz="4" w:space="0" w:color="auto"/>
              <w:left w:val="single" w:sz="4" w:space="0" w:color="auto"/>
              <w:bottom w:val="single" w:sz="4" w:space="0" w:color="auto"/>
              <w:right w:val="single" w:sz="4" w:space="0" w:color="auto"/>
            </w:tcBorders>
            <w:vAlign w:val="bottom"/>
          </w:tcPr>
          <w:p w14:paraId="0DB9972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sz w:val="22"/>
                <w:szCs w:val="22"/>
                <w:lang w:eastAsia="en-US"/>
              </w:rPr>
              <w:t>dochody z udziału w PIT</w:t>
            </w:r>
          </w:p>
        </w:tc>
        <w:tc>
          <w:tcPr>
            <w:tcW w:w="2400" w:type="dxa"/>
            <w:tcBorders>
              <w:top w:val="single" w:sz="4" w:space="0" w:color="auto"/>
              <w:left w:val="single" w:sz="4" w:space="0" w:color="auto"/>
              <w:bottom w:val="single" w:sz="4" w:space="0" w:color="auto"/>
              <w:right w:val="single" w:sz="4" w:space="0" w:color="auto"/>
            </w:tcBorders>
          </w:tcPr>
          <w:p w14:paraId="23E8FAB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0,00%</w:t>
            </w:r>
          </w:p>
        </w:tc>
        <w:tc>
          <w:tcPr>
            <w:tcW w:w="2400" w:type="dxa"/>
            <w:tcBorders>
              <w:top w:val="single" w:sz="4" w:space="0" w:color="auto"/>
              <w:left w:val="single" w:sz="4" w:space="0" w:color="auto"/>
              <w:bottom w:val="single" w:sz="4" w:space="0" w:color="auto"/>
              <w:right w:val="single" w:sz="4" w:space="0" w:color="auto"/>
            </w:tcBorders>
          </w:tcPr>
          <w:p w14:paraId="3BE69A1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100,00%</w:t>
            </w:r>
          </w:p>
        </w:tc>
      </w:tr>
      <w:tr w:rsidR="00D6249E" w:rsidRPr="00D6249E" w14:paraId="58CF4F91" w14:textId="77777777">
        <w:trPr>
          <w:trHeight w:val="283"/>
        </w:trPr>
        <w:tc>
          <w:tcPr>
            <w:tcW w:w="2400" w:type="dxa"/>
            <w:tcBorders>
              <w:top w:val="single" w:sz="4" w:space="0" w:color="auto"/>
              <w:left w:val="single" w:sz="4" w:space="0" w:color="auto"/>
              <w:bottom w:val="single" w:sz="4" w:space="0" w:color="auto"/>
              <w:right w:val="single" w:sz="4" w:space="0" w:color="auto"/>
            </w:tcBorders>
            <w:vAlign w:val="bottom"/>
          </w:tcPr>
          <w:p w14:paraId="64F2357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sz w:val="22"/>
                <w:szCs w:val="22"/>
                <w:lang w:eastAsia="en-US"/>
              </w:rPr>
              <w:t>dochody z udziału w CIT</w:t>
            </w:r>
          </w:p>
        </w:tc>
        <w:tc>
          <w:tcPr>
            <w:tcW w:w="2400" w:type="dxa"/>
            <w:tcBorders>
              <w:top w:val="single" w:sz="4" w:space="0" w:color="auto"/>
              <w:left w:val="single" w:sz="4" w:space="0" w:color="auto"/>
              <w:bottom w:val="single" w:sz="4" w:space="0" w:color="auto"/>
              <w:right w:val="single" w:sz="4" w:space="0" w:color="auto"/>
            </w:tcBorders>
          </w:tcPr>
          <w:p w14:paraId="3AFADF8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0,00%</w:t>
            </w:r>
          </w:p>
        </w:tc>
        <w:tc>
          <w:tcPr>
            <w:tcW w:w="2400" w:type="dxa"/>
            <w:tcBorders>
              <w:top w:val="single" w:sz="4" w:space="0" w:color="auto"/>
              <w:left w:val="single" w:sz="4" w:space="0" w:color="auto"/>
              <w:bottom w:val="single" w:sz="4" w:space="0" w:color="auto"/>
              <w:right w:val="single" w:sz="4" w:space="0" w:color="auto"/>
            </w:tcBorders>
          </w:tcPr>
          <w:p w14:paraId="455E96E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100,00%</w:t>
            </w:r>
          </w:p>
        </w:tc>
      </w:tr>
      <w:tr w:rsidR="00D6249E" w:rsidRPr="00D6249E" w14:paraId="29B307A6" w14:textId="77777777">
        <w:trPr>
          <w:trHeight w:val="283"/>
        </w:trPr>
        <w:tc>
          <w:tcPr>
            <w:tcW w:w="2400" w:type="dxa"/>
            <w:tcBorders>
              <w:top w:val="single" w:sz="4" w:space="0" w:color="auto"/>
              <w:left w:val="single" w:sz="4" w:space="0" w:color="auto"/>
              <w:bottom w:val="single" w:sz="4" w:space="0" w:color="auto"/>
              <w:right w:val="single" w:sz="4" w:space="0" w:color="auto"/>
            </w:tcBorders>
            <w:vAlign w:val="bottom"/>
          </w:tcPr>
          <w:p w14:paraId="242C43F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sz w:val="22"/>
                <w:szCs w:val="22"/>
                <w:lang w:eastAsia="en-US"/>
              </w:rPr>
              <w:t>subwencja ogólna</w:t>
            </w:r>
          </w:p>
        </w:tc>
        <w:tc>
          <w:tcPr>
            <w:tcW w:w="2400" w:type="dxa"/>
            <w:tcBorders>
              <w:top w:val="single" w:sz="4" w:space="0" w:color="auto"/>
              <w:left w:val="single" w:sz="4" w:space="0" w:color="auto"/>
              <w:bottom w:val="single" w:sz="4" w:space="0" w:color="auto"/>
              <w:right w:val="single" w:sz="4" w:space="0" w:color="auto"/>
            </w:tcBorders>
          </w:tcPr>
          <w:p w14:paraId="51394AB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0,00%</w:t>
            </w:r>
          </w:p>
        </w:tc>
        <w:tc>
          <w:tcPr>
            <w:tcW w:w="2400" w:type="dxa"/>
            <w:tcBorders>
              <w:top w:val="single" w:sz="4" w:space="0" w:color="auto"/>
              <w:left w:val="single" w:sz="4" w:space="0" w:color="auto"/>
              <w:bottom w:val="single" w:sz="4" w:space="0" w:color="auto"/>
              <w:right w:val="single" w:sz="4" w:space="0" w:color="auto"/>
            </w:tcBorders>
          </w:tcPr>
          <w:p w14:paraId="1DF3B6A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100,00%</w:t>
            </w:r>
          </w:p>
        </w:tc>
      </w:tr>
      <w:tr w:rsidR="00D6249E" w:rsidRPr="00D6249E" w14:paraId="19C307DA" w14:textId="77777777">
        <w:trPr>
          <w:trHeight w:val="283"/>
        </w:trPr>
        <w:tc>
          <w:tcPr>
            <w:tcW w:w="2400" w:type="dxa"/>
            <w:tcBorders>
              <w:top w:val="single" w:sz="4" w:space="0" w:color="auto"/>
              <w:left w:val="single" w:sz="4" w:space="0" w:color="auto"/>
              <w:bottom w:val="single" w:sz="4" w:space="0" w:color="auto"/>
              <w:right w:val="single" w:sz="4" w:space="0" w:color="auto"/>
            </w:tcBorders>
            <w:vAlign w:val="bottom"/>
          </w:tcPr>
          <w:p w14:paraId="5439431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sz w:val="22"/>
                <w:szCs w:val="22"/>
                <w:lang w:eastAsia="en-US"/>
              </w:rPr>
              <w:t>dotacje bieżące</w:t>
            </w:r>
          </w:p>
        </w:tc>
        <w:tc>
          <w:tcPr>
            <w:tcW w:w="2400" w:type="dxa"/>
            <w:tcBorders>
              <w:top w:val="single" w:sz="4" w:space="0" w:color="auto"/>
              <w:left w:val="single" w:sz="4" w:space="0" w:color="auto"/>
              <w:bottom w:val="single" w:sz="4" w:space="0" w:color="auto"/>
              <w:right w:val="single" w:sz="4" w:space="0" w:color="auto"/>
            </w:tcBorders>
          </w:tcPr>
          <w:p w14:paraId="33D0D19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0,00%</w:t>
            </w:r>
          </w:p>
        </w:tc>
        <w:tc>
          <w:tcPr>
            <w:tcW w:w="2400" w:type="dxa"/>
            <w:tcBorders>
              <w:top w:val="single" w:sz="4" w:space="0" w:color="auto"/>
              <w:left w:val="single" w:sz="4" w:space="0" w:color="auto"/>
              <w:bottom w:val="single" w:sz="4" w:space="0" w:color="auto"/>
              <w:right w:val="single" w:sz="4" w:space="0" w:color="auto"/>
            </w:tcBorders>
          </w:tcPr>
          <w:p w14:paraId="6D05FCE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100,00%</w:t>
            </w:r>
          </w:p>
        </w:tc>
      </w:tr>
      <w:tr w:rsidR="00D6249E" w:rsidRPr="00D6249E" w14:paraId="071E57B9" w14:textId="77777777">
        <w:trPr>
          <w:trHeight w:val="283"/>
        </w:trPr>
        <w:tc>
          <w:tcPr>
            <w:tcW w:w="2400" w:type="dxa"/>
            <w:tcBorders>
              <w:top w:val="single" w:sz="4" w:space="0" w:color="auto"/>
              <w:left w:val="single" w:sz="4" w:space="0" w:color="auto"/>
              <w:bottom w:val="single" w:sz="4" w:space="0" w:color="auto"/>
              <w:right w:val="single" w:sz="4" w:space="0" w:color="auto"/>
            </w:tcBorders>
            <w:vAlign w:val="bottom"/>
          </w:tcPr>
          <w:p w14:paraId="6A10EE0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sz w:val="22"/>
                <w:szCs w:val="22"/>
                <w:lang w:eastAsia="en-US"/>
              </w:rPr>
              <w:t>pozostałe, w tym:</w:t>
            </w:r>
          </w:p>
        </w:tc>
        <w:tc>
          <w:tcPr>
            <w:tcW w:w="2400" w:type="dxa"/>
            <w:tcBorders>
              <w:top w:val="single" w:sz="4" w:space="0" w:color="auto"/>
              <w:left w:val="single" w:sz="4" w:space="0" w:color="auto"/>
              <w:bottom w:val="single" w:sz="4" w:space="0" w:color="auto"/>
              <w:right w:val="single" w:sz="4" w:space="0" w:color="auto"/>
            </w:tcBorders>
          </w:tcPr>
          <w:p w14:paraId="2687F5A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0,00%</w:t>
            </w:r>
          </w:p>
        </w:tc>
        <w:tc>
          <w:tcPr>
            <w:tcW w:w="2400" w:type="dxa"/>
            <w:tcBorders>
              <w:top w:val="single" w:sz="4" w:space="0" w:color="auto"/>
              <w:left w:val="single" w:sz="4" w:space="0" w:color="auto"/>
              <w:bottom w:val="single" w:sz="4" w:space="0" w:color="auto"/>
              <w:right w:val="single" w:sz="4" w:space="0" w:color="auto"/>
            </w:tcBorders>
          </w:tcPr>
          <w:p w14:paraId="48E7FE9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100,00%</w:t>
            </w:r>
          </w:p>
        </w:tc>
      </w:tr>
      <w:tr w:rsidR="00D6249E" w:rsidRPr="00D6249E" w14:paraId="28FC9A0F" w14:textId="77777777">
        <w:trPr>
          <w:trHeight w:val="283"/>
        </w:trPr>
        <w:tc>
          <w:tcPr>
            <w:tcW w:w="2400" w:type="dxa"/>
            <w:tcBorders>
              <w:top w:val="single" w:sz="4" w:space="0" w:color="auto"/>
              <w:left w:val="single" w:sz="4" w:space="0" w:color="auto"/>
              <w:bottom w:val="single" w:sz="4" w:space="0" w:color="auto"/>
              <w:right w:val="single" w:sz="4" w:space="0" w:color="auto"/>
            </w:tcBorders>
            <w:vAlign w:val="bottom"/>
          </w:tcPr>
          <w:p w14:paraId="3218138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sz w:val="22"/>
                <w:szCs w:val="22"/>
                <w:lang w:eastAsia="en-US"/>
              </w:rPr>
              <w:t>z podatku od nieruchomości</w:t>
            </w:r>
          </w:p>
        </w:tc>
        <w:tc>
          <w:tcPr>
            <w:tcW w:w="2400" w:type="dxa"/>
            <w:tcBorders>
              <w:top w:val="single" w:sz="4" w:space="0" w:color="auto"/>
              <w:left w:val="single" w:sz="4" w:space="0" w:color="auto"/>
              <w:bottom w:val="single" w:sz="4" w:space="0" w:color="auto"/>
              <w:right w:val="single" w:sz="4" w:space="0" w:color="auto"/>
            </w:tcBorders>
          </w:tcPr>
          <w:p w14:paraId="60B1C1D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0,00%</w:t>
            </w:r>
          </w:p>
        </w:tc>
        <w:tc>
          <w:tcPr>
            <w:tcW w:w="2400" w:type="dxa"/>
            <w:tcBorders>
              <w:top w:val="single" w:sz="4" w:space="0" w:color="auto"/>
              <w:left w:val="single" w:sz="4" w:space="0" w:color="auto"/>
              <w:bottom w:val="single" w:sz="4" w:space="0" w:color="auto"/>
              <w:right w:val="single" w:sz="4" w:space="0" w:color="auto"/>
            </w:tcBorders>
          </w:tcPr>
          <w:p w14:paraId="1E65230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100,00%</w:t>
            </w:r>
          </w:p>
        </w:tc>
      </w:tr>
    </w:tbl>
    <w:p w14:paraId="7DAEE9DE" w14:textId="3BFD75DE" w:rsid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r w:rsidRPr="00D6249E">
        <w:rPr>
          <w:rFonts w:eastAsiaTheme="minorHAnsi"/>
          <w:sz w:val="22"/>
          <w:szCs w:val="22"/>
          <w:lang w:eastAsia="en-US"/>
        </w:rPr>
        <w:t>Źródło: Opracowanie własne.</w:t>
      </w:r>
    </w:p>
    <w:p w14:paraId="025745B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p>
    <w:p w14:paraId="3A4EE13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b/>
          <w:bCs/>
          <w:lang w:eastAsia="en-US"/>
        </w:rPr>
        <w:t>Podatek od nieruchomości</w:t>
      </w:r>
    </w:p>
    <w:p w14:paraId="7F2390B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Stosownie do przepisów ustawy o podatkach i opłatach lokalnych wysokość stawek podatku od nieruchomości nie może przekroczyć górnych granic stawek kwotowych ogłoszonych przez Ministra Finansów. W roku budżetowym wpływy z tytułu podatku od nieruchomości zaplanowano w oparciu o planowane na 2021 r. stawki podatku od nieruchomości oraz zasób nieruchomości Gminy Duszniki, który stanowi przedmiot opodatkowania. Wysokość wpływów z podatku od nieruchomości na 2021 r. ustalono więc na 5 509 893,80 zł.</w:t>
      </w:r>
    </w:p>
    <w:p w14:paraId="1274899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w:t>
      </w:r>
    </w:p>
    <w:p w14:paraId="1BD015B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b/>
          <w:bCs/>
          <w:lang w:eastAsia="en-US"/>
        </w:rPr>
        <w:t>Udział w podatkach centralnych</w:t>
      </w:r>
    </w:p>
    <w:p w14:paraId="18DCEFF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Jako że ta grupa dochodów pozostaje w bardzo silnym związku z sytuacją makroekonomiczną kraju, przy szacowaniu dochodów z tytułu udziałów w podatku dochodowym od osób fizycznych (PIT) oraz od osób prawnych (CIT) w latach 2022-2029 wzięto pod uwagę założony wskaźnik PKB. Zastosowana metodologia prognozowania dochodów z tego tytułu, przełożyła się na średnioroczny wzrost wpływów na poziomie ok. 250 tys. zł.</w:t>
      </w:r>
    </w:p>
    <w:p w14:paraId="6EEF515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b/>
          <w:bCs/>
          <w:lang w:eastAsia="en-US"/>
        </w:rPr>
        <w:t>Subwencje i dotacje na zadania bieżące</w:t>
      </w:r>
    </w:p>
    <w:p w14:paraId="6E114D2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Planowaną kwotę subwencji ogólnej oraz dotacji celowych z budżetu państwa (innych niż środki na dofinansowanie realizacji projektów europejskich) na 2021 rok przyjęto w oparciu o informacje przekazane przez Ministra Finansów. W kolejnych latach prognozy założono wzrost kwoty otrzymywanych dotychczas cyklicznych subwencji i dotacji celowych z budżetu państwa w oparciu o prognozowany wskaźnik PKB.</w:t>
      </w:r>
    </w:p>
    <w:p w14:paraId="28CAA2D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b/>
          <w:bCs/>
          <w:lang w:eastAsia="en-US"/>
        </w:rPr>
        <w:t>2.2. Dochody majątkowe</w:t>
      </w:r>
    </w:p>
    <w:p w14:paraId="00D711AB" w14:textId="3A60C9E4" w:rsid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Waloryzacji o wskaźniki makroekonomiczne nie poddano dochodów o charakterze majątkowym. Dochody majątkowe, w tym przede wszystkim dochody ze sprzedaży majątku pozbawione są regularności, a ich poziom uzależniony jest od czynników niezależnych, jak np. koniunktura na rynku nieruchomości.</w:t>
      </w:r>
    </w:p>
    <w:p w14:paraId="2E2DFBBB" w14:textId="6EB20C73" w:rsidR="00520428" w:rsidRDefault="00520428"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p>
    <w:p w14:paraId="3F94785C" w14:textId="77777777" w:rsidR="0042498F" w:rsidRDefault="0042498F"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p>
    <w:p w14:paraId="038132A4" w14:textId="77777777" w:rsidR="0042498F" w:rsidRPr="0042498F" w:rsidRDefault="0042498F" w:rsidP="00424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42498F">
        <w:rPr>
          <w:rFonts w:eastAsiaTheme="minorHAnsi"/>
          <w:lang w:eastAsia="en-US"/>
        </w:rPr>
        <w:lastRenderedPageBreak/>
        <w:t>W 2021 roku dochody ze sprzedaży majątku zaplanowano na poziomie 223 000,00 zł. Bazując na informacjach o wykonaniu dochodów majątkowych w poprzednich latach, należy stwierdzić, że zaplanowana kwota jest realna, ryzyko ich niewykonania jest minimalne, a sama sprzedaż mienia oraz prawa użytkowania wieczystego została zaplanowana przy dochowaniu najwyższej staranności.</w:t>
      </w:r>
    </w:p>
    <w:p w14:paraId="6503F678" w14:textId="5B15F839" w:rsidR="0042498F" w:rsidRDefault="0042498F" w:rsidP="00424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42498F">
        <w:rPr>
          <w:rFonts w:eastAsiaTheme="minorHAnsi"/>
          <w:lang w:eastAsia="en-US"/>
        </w:rPr>
        <w:t>Wartość zaplanowanych w 2021 roku dochodów ze sprzedaży ma zapewnić m.in. sprzedaż nieruchomości, których wykaz zaprezentowano w poniższej tabeli.</w:t>
      </w:r>
    </w:p>
    <w:p w14:paraId="50B44EF8" w14:textId="77777777" w:rsidR="0042498F" w:rsidRDefault="0042498F"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lang w:eastAsia="en-US"/>
        </w:rPr>
      </w:pPr>
    </w:p>
    <w:p w14:paraId="4BB20DA2" w14:textId="64133A66"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sz w:val="22"/>
          <w:szCs w:val="22"/>
          <w:lang w:eastAsia="en-US"/>
        </w:rPr>
      </w:pPr>
      <w:r w:rsidRPr="00D6249E">
        <w:rPr>
          <w:rFonts w:eastAsiaTheme="minorHAnsi"/>
          <w:b/>
          <w:bCs/>
          <w:sz w:val="22"/>
          <w:szCs w:val="22"/>
          <w:lang w:eastAsia="en-US"/>
        </w:rPr>
        <w:t>Tabela 3. Wykaz nieruchomości planowanych do sprzedaży w 2021 roku</w:t>
      </w:r>
    </w:p>
    <w:tbl>
      <w:tblPr>
        <w:tblW w:w="9072" w:type="dxa"/>
        <w:tblInd w:w="-5" w:type="dxa"/>
        <w:tblLayout w:type="fixed"/>
        <w:tblCellMar>
          <w:left w:w="10" w:type="dxa"/>
          <w:right w:w="10" w:type="dxa"/>
        </w:tblCellMar>
        <w:tblLook w:val="0000" w:firstRow="0" w:lastRow="0" w:firstColumn="0" w:lastColumn="0" w:noHBand="0" w:noVBand="0"/>
      </w:tblPr>
      <w:tblGrid>
        <w:gridCol w:w="1308"/>
        <w:gridCol w:w="2339"/>
        <w:gridCol w:w="2023"/>
        <w:gridCol w:w="1843"/>
        <w:gridCol w:w="1559"/>
      </w:tblGrid>
      <w:tr w:rsidR="00D6249E" w:rsidRPr="00D6249E" w14:paraId="3AA21915" w14:textId="77777777" w:rsidTr="009464FC">
        <w:trPr>
          <w:trHeight w:val="397"/>
        </w:trPr>
        <w:tc>
          <w:tcPr>
            <w:tcW w:w="1308" w:type="dxa"/>
            <w:tcBorders>
              <w:top w:val="single" w:sz="4" w:space="0" w:color="auto"/>
              <w:left w:val="single" w:sz="4" w:space="0" w:color="auto"/>
              <w:bottom w:val="single" w:sz="4" w:space="0" w:color="auto"/>
              <w:right w:val="single" w:sz="4" w:space="0" w:color="auto"/>
            </w:tcBorders>
            <w:shd w:val="clear" w:color="auto" w:fill="FCD5B5"/>
            <w:vAlign w:val="center"/>
          </w:tcPr>
          <w:p w14:paraId="08C1EFF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Położenie nieruchomości</w:t>
            </w:r>
          </w:p>
        </w:tc>
        <w:tc>
          <w:tcPr>
            <w:tcW w:w="2339" w:type="dxa"/>
            <w:tcBorders>
              <w:top w:val="single" w:sz="4" w:space="0" w:color="auto"/>
              <w:left w:val="single" w:sz="4" w:space="0" w:color="auto"/>
              <w:bottom w:val="single" w:sz="4" w:space="0" w:color="auto"/>
              <w:right w:val="single" w:sz="4" w:space="0" w:color="auto"/>
            </w:tcBorders>
            <w:shd w:val="clear" w:color="auto" w:fill="FCD5B5"/>
            <w:vAlign w:val="center"/>
          </w:tcPr>
          <w:p w14:paraId="131EE69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Nr działki i obręb</w:t>
            </w:r>
          </w:p>
        </w:tc>
        <w:tc>
          <w:tcPr>
            <w:tcW w:w="2023" w:type="dxa"/>
            <w:tcBorders>
              <w:top w:val="single" w:sz="4" w:space="0" w:color="auto"/>
              <w:left w:val="single" w:sz="4" w:space="0" w:color="auto"/>
              <w:bottom w:val="single" w:sz="4" w:space="0" w:color="auto"/>
              <w:right w:val="single" w:sz="4" w:space="0" w:color="auto"/>
            </w:tcBorders>
            <w:shd w:val="clear" w:color="auto" w:fill="FCD5B5"/>
            <w:vAlign w:val="center"/>
          </w:tcPr>
          <w:p w14:paraId="237FFF6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Powierzchnia [ha]</w:t>
            </w:r>
          </w:p>
        </w:tc>
        <w:tc>
          <w:tcPr>
            <w:tcW w:w="1843" w:type="dxa"/>
            <w:tcBorders>
              <w:top w:val="single" w:sz="4" w:space="0" w:color="auto"/>
              <w:left w:val="single" w:sz="4" w:space="0" w:color="auto"/>
              <w:bottom w:val="single" w:sz="4" w:space="0" w:color="auto"/>
              <w:right w:val="single" w:sz="4" w:space="0" w:color="auto"/>
            </w:tcBorders>
            <w:shd w:val="clear" w:color="auto" w:fill="FCD5B5"/>
            <w:vAlign w:val="center"/>
          </w:tcPr>
          <w:p w14:paraId="0074D048" w14:textId="07CF19BD"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 xml:space="preserve">Wartość </w:t>
            </w:r>
          </w:p>
        </w:tc>
        <w:tc>
          <w:tcPr>
            <w:tcW w:w="1559" w:type="dxa"/>
            <w:tcBorders>
              <w:top w:val="single" w:sz="4" w:space="0" w:color="auto"/>
              <w:left w:val="single" w:sz="4" w:space="0" w:color="auto"/>
              <w:bottom w:val="single" w:sz="4" w:space="0" w:color="auto"/>
              <w:right w:val="single" w:sz="4" w:space="0" w:color="auto"/>
            </w:tcBorders>
            <w:shd w:val="clear" w:color="auto" w:fill="FCD5B5"/>
            <w:vAlign w:val="center"/>
          </w:tcPr>
          <w:p w14:paraId="1C671BC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Planowany dochód</w:t>
            </w:r>
          </w:p>
        </w:tc>
      </w:tr>
      <w:tr w:rsidR="00D6249E" w:rsidRPr="00D6249E" w14:paraId="0F2CB501" w14:textId="77777777" w:rsidTr="009464FC">
        <w:trPr>
          <w:trHeight w:val="397"/>
        </w:trPr>
        <w:tc>
          <w:tcPr>
            <w:tcW w:w="1308" w:type="dxa"/>
            <w:tcBorders>
              <w:top w:val="single" w:sz="4" w:space="0" w:color="auto"/>
              <w:left w:val="single" w:sz="4" w:space="0" w:color="auto"/>
              <w:bottom w:val="single" w:sz="4" w:space="0" w:color="auto"/>
              <w:right w:val="single" w:sz="4" w:space="0" w:color="auto"/>
            </w:tcBorders>
            <w:vAlign w:val="center"/>
          </w:tcPr>
          <w:p w14:paraId="77A913E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Sędzinko</w:t>
            </w:r>
          </w:p>
        </w:tc>
        <w:tc>
          <w:tcPr>
            <w:tcW w:w="2339" w:type="dxa"/>
            <w:tcBorders>
              <w:top w:val="single" w:sz="4" w:space="0" w:color="auto"/>
              <w:left w:val="single" w:sz="4" w:space="0" w:color="auto"/>
              <w:bottom w:val="single" w:sz="4" w:space="0" w:color="auto"/>
              <w:right w:val="single" w:sz="4" w:space="0" w:color="auto"/>
            </w:tcBorders>
            <w:vAlign w:val="center"/>
          </w:tcPr>
          <w:p w14:paraId="2C6D823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Dz. Ew. 386/12 obręb Sędzinko</w:t>
            </w:r>
          </w:p>
        </w:tc>
        <w:tc>
          <w:tcPr>
            <w:tcW w:w="2023" w:type="dxa"/>
            <w:tcBorders>
              <w:top w:val="single" w:sz="4" w:space="0" w:color="auto"/>
              <w:left w:val="single" w:sz="4" w:space="0" w:color="auto"/>
              <w:bottom w:val="single" w:sz="4" w:space="0" w:color="auto"/>
              <w:right w:val="single" w:sz="4" w:space="0" w:color="auto"/>
            </w:tcBorders>
            <w:vAlign w:val="center"/>
          </w:tcPr>
          <w:p w14:paraId="0028ACF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380D37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54 714,09 zł</w:t>
            </w:r>
          </w:p>
        </w:tc>
        <w:tc>
          <w:tcPr>
            <w:tcW w:w="1559" w:type="dxa"/>
            <w:tcBorders>
              <w:top w:val="single" w:sz="4" w:space="0" w:color="auto"/>
              <w:left w:val="single" w:sz="4" w:space="0" w:color="auto"/>
              <w:bottom w:val="single" w:sz="4" w:space="0" w:color="auto"/>
              <w:right w:val="single" w:sz="4" w:space="0" w:color="auto"/>
            </w:tcBorders>
            <w:vAlign w:val="center"/>
          </w:tcPr>
          <w:p w14:paraId="703DD54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54 714,09 zł</w:t>
            </w:r>
          </w:p>
        </w:tc>
      </w:tr>
      <w:tr w:rsidR="00D6249E" w:rsidRPr="00D6249E" w14:paraId="1510DFF8" w14:textId="77777777" w:rsidTr="009464FC">
        <w:trPr>
          <w:trHeight w:val="397"/>
        </w:trPr>
        <w:tc>
          <w:tcPr>
            <w:tcW w:w="1308" w:type="dxa"/>
            <w:tcBorders>
              <w:top w:val="single" w:sz="4" w:space="0" w:color="auto"/>
              <w:left w:val="single" w:sz="4" w:space="0" w:color="auto"/>
              <w:bottom w:val="single" w:sz="4" w:space="0" w:color="auto"/>
              <w:right w:val="single" w:sz="4" w:space="0" w:color="auto"/>
            </w:tcBorders>
            <w:vAlign w:val="center"/>
          </w:tcPr>
          <w:p w14:paraId="4128AC8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Sędzinko</w:t>
            </w:r>
          </w:p>
        </w:tc>
        <w:tc>
          <w:tcPr>
            <w:tcW w:w="2339" w:type="dxa"/>
            <w:tcBorders>
              <w:top w:val="single" w:sz="4" w:space="0" w:color="auto"/>
              <w:left w:val="single" w:sz="4" w:space="0" w:color="auto"/>
              <w:bottom w:val="single" w:sz="4" w:space="0" w:color="auto"/>
              <w:right w:val="single" w:sz="4" w:space="0" w:color="auto"/>
            </w:tcBorders>
            <w:vAlign w:val="center"/>
          </w:tcPr>
          <w:p w14:paraId="506F5D4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Dz. Ew. 386/13 obręb Sędzinko</w:t>
            </w:r>
          </w:p>
        </w:tc>
        <w:tc>
          <w:tcPr>
            <w:tcW w:w="2023" w:type="dxa"/>
            <w:tcBorders>
              <w:top w:val="single" w:sz="4" w:space="0" w:color="auto"/>
              <w:left w:val="single" w:sz="4" w:space="0" w:color="auto"/>
              <w:bottom w:val="single" w:sz="4" w:space="0" w:color="auto"/>
              <w:right w:val="single" w:sz="4" w:space="0" w:color="auto"/>
            </w:tcBorders>
            <w:vAlign w:val="center"/>
          </w:tcPr>
          <w:p w14:paraId="5B5978E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27F29A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46 441,11 zł</w:t>
            </w:r>
          </w:p>
        </w:tc>
        <w:tc>
          <w:tcPr>
            <w:tcW w:w="1559" w:type="dxa"/>
            <w:tcBorders>
              <w:top w:val="single" w:sz="4" w:space="0" w:color="auto"/>
              <w:left w:val="single" w:sz="4" w:space="0" w:color="auto"/>
              <w:bottom w:val="single" w:sz="4" w:space="0" w:color="auto"/>
              <w:right w:val="single" w:sz="4" w:space="0" w:color="auto"/>
            </w:tcBorders>
            <w:vAlign w:val="center"/>
          </w:tcPr>
          <w:p w14:paraId="336DC44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46 441,11 zł</w:t>
            </w:r>
          </w:p>
        </w:tc>
      </w:tr>
      <w:tr w:rsidR="00D6249E" w:rsidRPr="00D6249E" w14:paraId="53EF700A" w14:textId="77777777" w:rsidTr="009464FC">
        <w:trPr>
          <w:trHeight w:val="397"/>
        </w:trPr>
        <w:tc>
          <w:tcPr>
            <w:tcW w:w="1308" w:type="dxa"/>
            <w:tcBorders>
              <w:top w:val="single" w:sz="4" w:space="0" w:color="auto"/>
              <w:left w:val="single" w:sz="4" w:space="0" w:color="auto"/>
              <w:bottom w:val="single" w:sz="4" w:space="0" w:color="auto"/>
              <w:right w:val="single" w:sz="4" w:space="0" w:color="auto"/>
            </w:tcBorders>
            <w:vAlign w:val="center"/>
          </w:tcPr>
          <w:p w14:paraId="436CFBB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Kunowo</w:t>
            </w:r>
          </w:p>
        </w:tc>
        <w:tc>
          <w:tcPr>
            <w:tcW w:w="2339" w:type="dxa"/>
            <w:tcBorders>
              <w:top w:val="single" w:sz="4" w:space="0" w:color="auto"/>
              <w:left w:val="single" w:sz="4" w:space="0" w:color="auto"/>
              <w:bottom w:val="single" w:sz="4" w:space="0" w:color="auto"/>
              <w:right w:val="single" w:sz="4" w:space="0" w:color="auto"/>
            </w:tcBorders>
            <w:vAlign w:val="center"/>
          </w:tcPr>
          <w:p w14:paraId="4700A3E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Dz. Ew. 57/11 obręb Kunowo</w:t>
            </w:r>
          </w:p>
        </w:tc>
        <w:tc>
          <w:tcPr>
            <w:tcW w:w="2023" w:type="dxa"/>
            <w:tcBorders>
              <w:top w:val="single" w:sz="4" w:space="0" w:color="auto"/>
              <w:left w:val="single" w:sz="4" w:space="0" w:color="auto"/>
              <w:bottom w:val="single" w:sz="4" w:space="0" w:color="auto"/>
              <w:right w:val="single" w:sz="4" w:space="0" w:color="auto"/>
            </w:tcBorders>
            <w:vAlign w:val="center"/>
          </w:tcPr>
          <w:p w14:paraId="7E9C65E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50FF17D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59 213,43 zł</w:t>
            </w:r>
          </w:p>
        </w:tc>
        <w:tc>
          <w:tcPr>
            <w:tcW w:w="1559" w:type="dxa"/>
            <w:tcBorders>
              <w:top w:val="single" w:sz="4" w:space="0" w:color="auto"/>
              <w:left w:val="single" w:sz="4" w:space="0" w:color="auto"/>
              <w:bottom w:val="single" w:sz="4" w:space="0" w:color="auto"/>
              <w:right w:val="single" w:sz="4" w:space="0" w:color="auto"/>
            </w:tcBorders>
            <w:vAlign w:val="center"/>
          </w:tcPr>
          <w:p w14:paraId="6542EF9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59 213,43 zł</w:t>
            </w:r>
          </w:p>
        </w:tc>
      </w:tr>
      <w:tr w:rsidR="00D6249E" w:rsidRPr="00D6249E" w14:paraId="3DD194E4" w14:textId="77777777" w:rsidTr="009464FC">
        <w:trPr>
          <w:trHeight w:val="397"/>
        </w:trPr>
        <w:tc>
          <w:tcPr>
            <w:tcW w:w="1308" w:type="dxa"/>
            <w:tcBorders>
              <w:top w:val="single" w:sz="4" w:space="0" w:color="auto"/>
              <w:left w:val="single" w:sz="4" w:space="0" w:color="auto"/>
              <w:bottom w:val="single" w:sz="4" w:space="0" w:color="auto"/>
              <w:right w:val="single" w:sz="4" w:space="0" w:color="auto"/>
            </w:tcBorders>
            <w:vAlign w:val="center"/>
          </w:tcPr>
          <w:p w14:paraId="23AA223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Kunowo</w:t>
            </w:r>
          </w:p>
        </w:tc>
        <w:tc>
          <w:tcPr>
            <w:tcW w:w="2339" w:type="dxa"/>
            <w:tcBorders>
              <w:top w:val="single" w:sz="4" w:space="0" w:color="auto"/>
              <w:left w:val="single" w:sz="4" w:space="0" w:color="auto"/>
              <w:bottom w:val="single" w:sz="4" w:space="0" w:color="auto"/>
              <w:right w:val="single" w:sz="4" w:space="0" w:color="auto"/>
            </w:tcBorders>
            <w:vAlign w:val="center"/>
          </w:tcPr>
          <w:p w14:paraId="50EECDF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Dz. Ew 57/12 obręb Kunowo</w:t>
            </w:r>
          </w:p>
        </w:tc>
        <w:tc>
          <w:tcPr>
            <w:tcW w:w="2023" w:type="dxa"/>
            <w:tcBorders>
              <w:top w:val="single" w:sz="4" w:space="0" w:color="auto"/>
              <w:left w:val="single" w:sz="4" w:space="0" w:color="auto"/>
              <w:bottom w:val="single" w:sz="4" w:space="0" w:color="auto"/>
              <w:right w:val="single" w:sz="4" w:space="0" w:color="auto"/>
            </w:tcBorders>
            <w:vAlign w:val="center"/>
          </w:tcPr>
          <w:p w14:paraId="745FD1C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B0055E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59 611,95 zł</w:t>
            </w:r>
          </w:p>
        </w:tc>
        <w:tc>
          <w:tcPr>
            <w:tcW w:w="1559" w:type="dxa"/>
            <w:tcBorders>
              <w:top w:val="single" w:sz="4" w:space="0" w:color="auto"/>
              <w:left w:val="single" w:sz="4" w:space="0" w:color="auto"/>
              <w:bottom w:val="single" w:sz="4" w:space="0" w:color="auto"/>
              <w:right w:val="single" w:sz="4" w:space="0" w:color="auto"/>
            </w:tcBorders>
            <w:vAlign w:val="center"/>
          </w:tcPr>
          <w:p w14:paraId="76EB596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59 611,95 zł</w:t>
            </w:r>
          </w:p>
        </w:tc>
      </w:tr>
      <w:tr w:rsidR="00D6249E" w:rsidRPr="00D6249E" w14:paraId="17988D54" w14:textId="77777777" w:rsidTr="009464FC">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tcPr>
          <w:p w14:paraId="2C49CBF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Suma: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22941B" w14:textId="1A0BDF65" w:rsidR="00D6249E" w:rsidRPr="00D6249E" w:rsidRDefault="009464FC" w:rsidP="009464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Pr>
                <w:rFonts w:eastAsiaTheme="minorHAnsi"/>
                <w:sz w:val="22"/>
                <w:szCs w:val="22"/>
                <w:lang w:eastAsia="en-US"/>
              </w:rPr>
              <w:t>219 980,58</w:t>
            </w:r>
          </w:p>
        </w:tc>
      </w:tr>
    </w:tbl>
    <w:p w14:paraId="0ED2F38B" w14:textId="067C92DA"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r w:rsidRPr="00D6249E">
        <w:rPr>
          <w:rFonts w:eastAsiaTheme="minorHAnsi"/>
          <w:sz w:val="22"/>
          <w:szCs w:val="22"/>
          <w:lang w:eastAsia="en-US"/>
        </w:rPr>
        <w:t>Źródło: Opracowanie własne.</w:t>
      </w:r>
    </w:p>
    <w:p w14:paraId="4DD5CF3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b/>
          <w:bCs/>
          <w:lang w:eastAsia="en-US"/>
        </w:rPr>
        <w:t>3. Wydatki</w:t>
      </w:r>
    </w:p>
    <w:p w14:paraId="1E7A97B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Prognozy wydatków Gminy Duszniki dokonano w podziale na kategorie wydatków bieżących i wydatków majątkowych.</w:t>
      </w:r>
    </w:p>
    <w:p w14:paraId="601C210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b/>
          <w:bCs/>
          <w:lang w:eastAsia="en-US"/>
        </w:rPr>
        <w:t>3.1. Wydatki bieżące</w:t>
      </w:r>
    </w:p>
    <w:p w14:paraId="322CBF1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Wydatki bieżące prognozowano w podziale na:</w:t>
      </w:r>
    </w:p>
    <w:p w14:paraId="79AAFD16" w14:textId="77777777" w:rsidR="00D6249E" w:rsidRPr="00D6249E" w:rsidRDefault="00D6249E" w:rsidP="00D6249E">
      <w:pPr>
        <w:widowControl w:val="0"/>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lang w:eastAsia="en-US"/>
        </w:rPr>
        <w:t>wynagrodzenia i składki od nich naliczane;</w:t>
      </w:r>
    </w:p>
    <w:p w14:paraId="2FBC363F" w14:textId="77777777" w:rsidR="00D6249E" w:rsidRPr="00D6249E" w:rsidRDefault="00D6249E" w:rsidP="00D6249E">
      <w:pPr>
        <w:widowControl w:val="0"/>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lang w:eastAsia="en-US"/>
        </w:rPr>
        <w:t>wydatki związane z obsługą zadłużenia, w tym odsetki i dyskonto;</w:t>
      </w:r>
    </w:p>
    <w:p w14:paraId="6279CF19" w14:textId="77777777" w:rsidR="00D6249E" w:rsidRPr="00D6249E" w:rsidRDefault="00D6249E" w:rsidP="00D6249E">
      <w:pPr>
        <w:widowControl w:val="0"/>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pozostałe wydatki bieżące.</w:t>
      </w:r>
    </w:p>
    <w:p w14:paraId="760AE57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Zgodnie z założeniami przyjętymi przy prognozie dochodów, dla wydatków bieżących w roku 2021 przyjęto projekt budżetu. W 2021 r. w budżecie Gminy Duszniki wydatki na wynagrodzenia i pochodne od wynagrodzeń zabezpieczono w wysokości 15.363.679 zł, co stanowi wzrost w stosunku do przewidywanego wykonania na koniec 2020 r. o kwotę 1.320.458 zł.  W latach 2022-2029 dokonano indeksacji wydatków na wynagrodzenia i pochodne od wynagrodzeń w oparciu o wskaźnik inflacji.</w:t>
      </w:r>
    </w:p>
    <w:p w14:paraId="1B12224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 xml:space="preserve">W 2022 r. założono spadek pozostałych wydatków bieżących. Władze Gminy przewidują znaczące oszczędności w budżecie 2022 r. W związku z powyższym, przy prognozowania pozostałych wydatków bieżących w latach 2022-2024 przyjęto indeksację o wskaźnik inflacji (waga 50%).  W tym celu konieczne będzie podjęcie szeregu działań oszczędnościowych w 2021 roku, których efekty finansowe będą widoczne w kolejnym roku. Gmina Duszniki zamierza szukać oszczędności w zakresie oświaty i promocji, dotacji i wydatków pozostających </w:t>
      </w:r>
      <w:r w:rsidRPr="00D6249E">
        <w:rPr>
          <w:rFonts w:eastAsiaTheme="minorHAnsi"/>
          <w:lang w:eastAsia="en-US"/>
        </w:rPr>
        <w:lastRenderedPageBreak/>
        <w:t>poza podstawowymi obowiązkami Gminy oraz innych obszarów, które zostaną określone na podstawie wnikliwej analizy struktury wydatków w trakcie roku budżetowego 2021. Natomiast od roku 2025, w celu zachowania podejścia ostrożnościowego, przyjęto indeksację o wagę 100% wskaźnika inflacji.</w:t>
      </w:r>
    </w:p>
    <w:p w14:paraId="21BAF1F7" w14:textId="391D346B" w:rsid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Podobne założenia przyjęto w przypadku prognozowania pozostałych wydatków bieżących. O ile w przypadku wydatków na wynagrodzenia, pochodnych od wynagrodzeń i pozostałych wydatków bieżących możliwość zastosowania indeksacji jest uzasadniona, o tyle wydatki związane z obsługą długu są ściśle uzależnione od postanowień zawartych w umowach kredytowych, pożyczkowych i emisji obligacji.</w:t>
      </w:r>
    </w:p>
    <w:p w14:paraId="3070BD92" w14:textId="77777777" w:rsidR="008D185D" w:rsidRPr="00D6249E" w:rsidRDefault="008D185D"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p>
    <w:p w14:paraId="1BE14C3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lang w:eastAsia="en-US"/>
        </w:rPr>
      </w:pPr>
      <w:r w:rsidRPr="00D6249E">
        <w:rPr>
          <w:rFonts w:eastAsiaTheme="minorHAnsi"/>
          <w:b/>
          <w:bCs/>
          <w:lang w:eastAsia="en-US"/>
        </w:rPr>
        <w:t>Tabela 4. Wagi dla danych makroekonomicznych przyjęte do wyliczeń prognozy wydatków bieżących w latach 2025-2029</w:t>
      </w:r>
    </w:p>
    <w:tbl>
      <w:tblPr>
        <w:tblW w:w="9072" w:type="dxa"/>
        <w:tblInd w:w="-5" w:type="dxa"/>
        <w:tblLayout w:type="fixed"/>
        <w:tblCellMar>
          <w:left w:w="10" w:type="dxa"/>
          <w:right w:w="10" w:type="dxa"/>
        </w:tblCellMar>
        <w:tblLook w:val="0000" w:firstRow="0" w:lastRow="0" w:firstColumn="0" w:lastColumn="0" w:noHBand="0" w:noVBand="0"/>
      </w:tblPr>
      <w:tblGrid>
        <w:gridCol w:w="3119"/>
        <w:gridCol w:w="1984"/>
        <w:gridCol w:w="1985"/>
        <w:gridCol w:w="1984"/>
      </w:tblGrid>
      <w:tr w:rsidR="00D6249E" w:rsidRPr="00D6249E" w14:paraId="2EC2FD36" w14:textId="77777777" w:rsidTr="008D185D">
        <w:tc>
          <w:tcPr>
            <w:tcW w:w="3119" w:type="dxa"/>
            <w:tcBorders>
              <w:top w:val="single" w:sz="4" w:space="0" w:color="auto"/>
              <w:left w:val="single" w:sz="4" w:space="0" w:color="auto"/>
              <w:bottom w:val="single" w:sz="4" w:space="0" w:color="auto"/>
              <w:right w:val="single" w:sz="4" w:space="0" w:color="auto"/>
            </w:tcBorders>
            <w:shd w:val="clear" w:color="auto" w:fill="FCD5B5"/>
            <w:vAlign w:val="bottom"/>
          </w:tcPr>
          <w:p w14:paraId="2D36091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lang w:eastAsia="en-US"/>
              </w:rPr>
            </w:pPr>
            <w:r w:rsidRPr="00D6249E">
              <w:rPr>
                <w:rFonts w:eastAsiaTheme="minorHAnsi"/>
                <w:lang w:eastAsia="en-US"/>
              </w:rPr>
              <w:t>Wyszczególnienie</w:t>
            </w:r>
          </w:p>
        </w:tc>
        <w:tc>
          <w:tcPr>
            <w:tcW w:w="1984" w:type="dxa"/>
            <w:tcBorders>
              <w:top w:val="single" w:sz="4" w:space="0" w:color="auto"/>
              <w:left w:val="single" w:sz="4" w:space="0" w:color="auto"/>
              <w:bottom w:val="single" w:sz="4" w:space="0" w:color="auto"/>
              <w:right w:val="single" w:sz="4" w:space="0" w:color="auto"/>
            </w:tcBorders>
            <w:shd w:val="clear" w:color="auto" w:fill="FCD5B5"/>
            <w:vAlign w:val="bottom"/>
          </w:tcPr>
          <w:p w14:paraId="0D077DC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lang w:eastAsia="en-US"/>
              </w:rPr>
            </w:pPr>
            <w:r w:rsidRPr="00D6249E">
              <w:rPr>
                <w:rFonts w:eastAsiaTheme="minorHAnsi"/>
                <w:lang w:eastAsia="en-US"/>
              </w:rPr>
              <w:t>INF</w:t>
            </w:r>
          </w:p>
        </w:tc>
        <w:tc>
          <w:tcPr>
            <w:tcW w:w="1985" w:type="dxa"/>
            <w:tcBorders>
              <w:top w:val="single" w:sz="4" w:space="0" w:color="auto"/>
              <w:left w:val="single" w:sz="4" w:space="0" w:color="auto"/>
              <w:bottom w:val="single" w:sz="4" w:space="0" w:color="auto"/>
              <w:right w:val="single" w:sz="4" w:space="0" w:color="auto"/>
            </w:tcBorders>
            <w:shd w:val="clear" w:color="auto" w:fill="FCD5B5"/>
            <w:vAlign w:val="bottom"/>
          </w:tcPr>
          <w:p w14:paraId="73717E5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lang w:eastAsia="en-US"/>
              </w:rPr>
            </w:pPr>
            <w:r w:rsidRPr="00D6249E">
              <w:rPr>
                <w:rFonts w:eastAsiaTheme="minorHAnsi"/>
                <w:lang w:eastAsia="en-US"/>
              </w:rPr>
              <w:t>PKB</w:t>
            </w:r>
          </w:p>
        </w:tc>
        <w:tc>
          <w:tcPr>
            <w:tcW w:w="1984" w:type="dxa"/>
            <w:tcBorders>
              <w:top w:val="single" w:sz="4" w:space="0" w:color="auto"/>
              <w:left w:val="single" w:sz="4" w:space="0" w:color="auto"/>
              <w:bottom w:val="single" w:sz="4" w:space="0" w:color="auto"/>
              <w:right w:val="single" w:sz="4" w:space="0" w:color="auto"/>
            </w:tcBorders>
            <w:shd w:val="clear" w:color="auto" w:fill="FCD5B5"/>
            <w:vAlign w:val="bottom"/>
          </w:tcPr>
          <w:p w14:paraId="6408557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lang w:eastAsia="en-US"/>
              </w:rPr>
            </w:pPr>
            <w:r w:rsidRPr="00D6249E">
              <w:rPr>
                <w:rFonts w:eastAsiaTheme="minorHAnsi"/>
                <w:lang w:eastAsia="en-US"/>
              </w:rPr>
              <w:t>WYNAGR</w:t>
            </w:r>
          </w:p>
        </w:tc>
      </w:tr>
      <w:tr w:rsidR="00D6249E" w:rsidRPr="00D6249E" w14:paraId="75814D0B" w14:textId="77777777" w:rsidTr="008D185D">
        <w:tc>
          <w:tcPr>
            <w:tcW w:w="3119" w:type="dxa"/>
            <w:tcBorders>
              <w:top w:val="single" w:sz="4" w:space="0" w:color="auto"/>
              <w:left w:val="single" w:sz="4" w:space="0" w:color="auto"/>
              <w:bottom w:val="single" w:sz="4" w:space="0" w:color="auto"/>
              <w:right w:val="single" w:sz="4" w:space="0" w:color="auto"/>
            </w:tcBorders>
            <w:vAlign w:val="bottom"/>
          </w:tcPr>
          <w:p w14:paraId="0978D1B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sz w:val="22"/>
                <w:szCs w:val="22"/>
                <w:lang w:eastAsia="en-US"/>
              </w:rPr>
              <w:t>wynagrodzenia i pochodne</w:t>
            </w:r>
          </w:p>
        </w:tc>
        <w:tc>
          <w:tcPr>
            <w:tcW w:w="1984" w:type="dxa"/>
            <w:tcBorders>
              <w:top w:val="single" w:sz="4" w:space="0" w:color="auto"/>
              <w:left w:val="single" w:sz="4" w:space="0" w:color="auto"/>
              <w:bottom w:val="single" w:sz="4" w:space="0" w:color="auto"/>
              <w:right w:val="single" w:sz="4" w:space="0" w:color="auto"/>
            </w:tcBorders>
          </w:tcPr>
          <w:p w14:paraId="7B113B4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100,00%</w:t>
            </w:r>
          </w:p>
        </w:tc>
        <w:tc>
          <w:tcPr>
            <w:tcW w:w="1985" w:type="dxa"/>
            <w:tcBorders>
              <w:top w:val="single" w:sz="4" w:space="0" w:color="auto"/>
              <w:left w:val="single" w:sz="4" w:space="0" w:color="auto"/>
              <w:bottom w:val="single" w:sz="4" w:space="0" w:color="auto"/>
              <w:right w:val="single" w:sz="4" w:space="0" w:color="auto"/>
            </w:tcBorders>
          </w:tcPr>
          <w:p w14:paraId="5F1D0E8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0,00%</w:t>
            </w:r>
          </w:p>
        </w:tc>
        <w:tc>
          <w:tcPr>
            <w:tcW w:w="1984" w:type="dxa"/>
            <w:tcBorders>
              <w:top w:val="single" w:sz="4" w:space="0" w:color="auto"/>
              <w:left w:val="single" w:sz="4" w:space="0" w:color="auto"/>
              <w:bottom w:val="single" w:sz="4" w:space="0" w:color="auto"/>
              <w:right w:val="single" w:sz="4" w:space="0" w:color="auto"/>
            </w:tcBorders>
          </w:tcPr>
          <w:p w14:paraId="78C3402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0,00%</w:t>
            </w:r>
          </w:p>
        </w:tc>
      </w:tr>
      <w:tr w:rsidR="00D6249E" w:rsidRPr="00D6249E" w14:paraId="72FD6D29" w14:textId="77777777" w:rsidTr="008D185D">
        <w:tc>
          <w:tcPr>
            <w:tcW w:w="3119" w:type="dxa"/>
            <w:tcBorders>
              <w:top w:val="single" w:sz="4" w:space="0" w:color="auto"/>
              <w:left w:val="single" w:sz="4" w:space="0" w:color="auto"/>
              <w:bottom w:val="single" w:sz="4" w:space="0" w:color="auto"/>
              <w:right w:val="single" w:sz="4" w:space="0" w:color="auto"/>
            </w:tcBorders>
            <w:vAlign w:val="bottom"/>
          </w:tcPr>
          <w:p w14:paraId="7C758B6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sz w:val="22"/>
                <w:szCs w:val="22"/>
                <w:lang w:eastAsia="en-US"/>
              </w:rPr>
              <w:t>Pozostałe wydatki bieżące</w:t>
            </w:r>
          </w:p>
        </w:tc>
        <w:tc>
          <w:tcPr>
            <w:tcW w:w="1984" w:type="dxa"/>
            <w:tcBorders>
              <w:top w:val="single" w:sz="4" w:space="0" w:color="auto"/>
              <w:left w:val="single" w:sz="4" w:space="0" w:color="auto"/>
              <w:bottom w:val="single" w:sz="4" w:space="0" w:color="auto"/>
              <w:right w:val="single" w:sz="4" w:space="0" w:color="auto"/>
            </w:tcBorders>
          </w:tcPr>
          <w:p w14:paraId="44725B6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100,00%</w:t>
            </w:r>
          </w:p>
        </w:tc>
        <w:tc>
          <w:tcPr>
            <w:tcW w:w="1985" w:type="dxa"/>
            <w:tcBorders>
              <w:top w:val="single" w:sz="4" w:space="0" w:color="auto"/>
              <w:left w:val="single" w:sz="4" w:space="0" w:color="auto"/>
              <w:bottom w:val="single" w:sz="4" w:space="0" w:color="auto"/>
              <w:right w:val="single" w:sz="4" w:space="0" w:color="auto"/>
            </w:tcBorders>
          </w:tcPr>
          <w:p w14:paraId="7229DFB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0,00%</w:t>
            </w:r>
          </w:p>
        </w:tc>
        <w:tc>
          <w:tcPr>
            <w:tcW w:w="1984" w:type="dxa"/>
            <w:tcBorders>
              <w:top w:val="single" w:sz="4" w:space="0" w:color="auto"/>
              <w:left w:val="single" w:sz="4" w:space="0" w:color="auto"/>
              <w:bottom w:val="single" w:sz="4" w:space="0" w:color="auto"/>
              <w:right w:val="single" w:sz="4" w:space="0" w:color="auto"/>
            </w:tcBorders>
          </w:tcPr>
          <w:p w14:paraId="4B78C3D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0,00%</w:t>
            </w:r>
          </w:p>
        </w:tc>
      </w:tr>
    </w:tbl>
    <w:p w14:paraId="7F51B33B" w14:textId="70255590" w:rsid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r w:rsidRPr="00D6249E">
        <w:rPr>
          <w:rFonts w:eastAsiaTheme="minorHAnsi"/>
          <w:sz w:val="22"/>
          <w:szCs w:val="22"/>
          <w:lang w:eastAsia="en-US"/>
        </w:rPr>
        <w:t>Źródło: Opracowanie własne.</w:t>
      </w:r>
    </w:p>
    <w:p w14:paraId="6350791C" w14:textId="77777777" w:rsidR="008D185D" w:rsidRPr="00D6249E" w:rsidRDefault="008D185D"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p>
    <w:p w14:paraId="7C55C9A7" w14:textId="2143147F" w:rsid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Wydatki na obsługę długu skalkulowano w oparciu o obowiązujące stawki WIBOR jak również warunki wynikające z zawartych umów (w przypadku zobowiązań historycznych). Dodatkowo, w prognozie WPF uwzględniono również koszty obsługi zobowiązania planowanego do zaciągnięcia.</w:t>
      </w:r>
    </w:p>
    <w:p w14:paraId="25760024" w14:textId="77777777" w:rsidR="008D185D" w:rsidRPr="00D6249E" w:rsidRDefault="008D185D"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p>
    <w:p w14:paraId="28410D61" w14:textId="2F1B2AB9" w:rsidR="008D185D"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 xml:space="preserve">Należy dodać, iż w kolumnie pomocniczej WPF „2020 przewidywane wykonanie” w pozycji [10.11] wykazano poniesione wydatki bieżące podlegające ustawowemu wyłączeniu z limitu spłaty zobowiązań w wysokości 46.507 zł. Niniejsza kwota obejmuje wydatki bieżące poniesione w celu realizacji zadań związanych z przeciwdziałaniem COVID-19, które w części sfinansowano m.in. z rezerwy na zarządzanie kryzysowe, bezpośrednio w efekcie wystąpienia pandemii. </w:t>
      </w:r>
    </w:p>
    <w:p w14:paraId="083AC06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b/>
          <w:bCs/>
          <w:lang w:eastAsia="en-US"/>
        </w:rPr>
        <w:t>3.2. Wydatki majątkowe</w:t>
      </w:r>
    </w:p>
    <w:p w14:paraId="50F47DC6" w14:textId="62AB1316" w:rsid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Wydatki majątkowe obejmują przede wszystkim przedsięwzięcia inwestycyjne, które ujęto w załączniku nr 2 do Wieloletniej Prognozy Finansowej Gminy Duszniki na lata 2021-2024. W kolejnych latach wydatki majątkowe zostały zaplanowane tak, aby pokryły pozostałą po spłacie zobowiązań część tzw. wolnych środków.</w:t>
      </w:r>
    </w:p>
    <w:p w14:paraId="58080C75" w14:textId="77777777" w:rsidR="008D185D" w:rsidRPr="00D6249E" w:rsidRDefault="008D185D"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p>
    <w:p w14:paraId="4E89E88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b/>
          <w:bCs/>
          <w:lang w:eastAsia="en-US"/>
        </w:rPr>
        <w:t>4. Wynik budżetu</w:t>
      </w:r>
    </w:p>
    <w:p w14:paraId="7A2ACFA8" w14:textId="5C78BB9C" w:rsidR="008D185D"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Wynik budżetu w prognozowanym okresie jest ściśle powiązany z przyjętymi założeniami do prognozy dochodów i wydatków. Fakt prognozowania w oparciu o dane makroekonomiczne o niewielkiej zmienności powoduje zrównoważony i stabilny wzrost dochodów oraz wydatków bieżących, któremu można przypisać cechy statystyczne. W całym prognozowanym okresie utrzymana została relacja z art. 242 (brak deficytu bieżącego).</w:t>
      </w:r>
    </w:p>
    <w:p w14:paraId="04C5407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sz w:val="22"/>
          <w:szCs w:val="22"/>
          <w:lang w:eastAsia="en-US"/>
        </w:rPr>
      </w:pPr>
      <w:r w:rsidRPr="00D6249E">
        <w:rPr>
          <w:rFonts w:eastAsiaTheme="minorHAnsi"/>
          <w:b/>
          <w:bCs/>
          <w:sz w:val="22"/>
          <w:szCs w:val="22"/>
          <w:lang w:eastAsia="en-US"/>
        </w:rPr>
        <w:lastRenderedPageBreak/>
        <w:t>Tabela 5. Wynik budżetu Gminy Duszniki</w:t>
      </w:r>
    </w:p>
    <w:tbl>
      <w:tblPr>
        <w:tblW w:w="9072" w:type="dxa"/>
        <w:tblInd w:w="-5" w:type="dxa"/>
        <w:tblLayout w:type="fixed"/>
        <w:tblCellMar>
          <w:left w:w="10" w:type="dxa"/>
          <w:right w:w="10" w:type="dxa"/>
        </w:tblCellMar>
        <w:tblLook w:val="0000" w:firstRow="0" w:lastRow="0" w:firstColumn="0" w:lastColumn="0" w:noHBand="0" w:noVBand="0"/>
      </w:tblPr>
      <w:tblGrid>
        <w:gridCol w:w="2552"/>
        <w:gridCol w:w="1559"/>
        <w:gridCol w:w="1843"/>
        <w:gridCol w:w="1701"/>
        <w:gridCol w:w="1417"/>
      </w:tblGrid>
      <w:tr w:rsidR="00D6249E" w:rsidRPr="00D6249E" w14:paraId="0AB3916C" w14:textId="77777777" w:rsidTr="008D185D">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FCD5B5"/>
            <w:vAlign w:val="center"/>
          </w:tcPr>
          <w:p w14:paraId="1E45DAE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CD5B5"/>
            <w:vAlign w:val="center"/>
          </w:tcPr>
          <w:p w14:paraId="78EAF3E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2021</w:t>
            </w:r>
          </w:p>
        </w:tc>
        <w:tc>
          <w:tcPr>
            <w:tcW w:w="1843" w:type="dxa"/>
            <w:tcBorders>
              <w:top w:val="single" w:sz="4" w:space="0" w:color="auto"/>
              <w:left w:val="single" w:sz="4" w:space="0" w:color="auto"/>
              <w:bottom w:val="single" w:sz="4" w:space="0" w:color="auto"/>
              <w:right w:val="single" w:sz="4" w:space="0" w:color="auto"/>
            </w:tcBorders>
            <w:shd w:val="clear" w:color="auto" w:fill="FCD5B5"/>
            <w:vAlign w:val="center"/>
          </w:tcPr>
          <w:p w14:paraId="689BE30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2022</w:t>
            </w:r>
          </w:p>
        </w:tc>
        <w:tc>
          <w:tcPr>
            <w:tcW w:w="1701" w:type="dxa"/>
            <w:tcBorders>
              <w:top w:val="single" w:sz="4" w:space="0" w:color="auto"/>
              <w:left w:val="single" w:sz="4" w:space="0" w:color="auto"/>
              <w:bottom w:val="single" w:sz="4" w:space="0" w:color="auto"/>
              <w:right w:val="single" w:sz="4" w:space="0" w:color="auto"/>
            </w:tcBorders>
            <w:shd w:val="clear" w:color="auto" w:fill="FCD5B5"/>
            <w:vAlign w:val="center"/>
          </w:tcPr>
          <w:p w14:paraId="3F612BA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2023</w:t>
            </w:r>
          </w:p>
        </w:tc>
        <w:tc>
          <w:tcPr>
            <w:tcW w:w="1417" w:type="dxa"/>
            <w:tcBorders>
              <w:top w:val="single" w:sz="4" w:space="0" w:color="auto"/>
              <w:left w:val="single" w:sz="4" w:space="0" w:color="auto"/>
              <w:bottom w:val="single" w:sz="4" w:space="0" w:color="auto"/>
              <w:right w:val="single" w:sz="4" w:space="0" w:color="auto"/>
            </w:tcBorders>
            <w:shd w:val="clear" w:color="auto" w:fill="FCD5B5"/>
            <w:vAlign w:val="center"/>
          </w:tcPr>
          <w:p w14:paraId="0DD3A02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2024</w:t>
            </w:r>
          </w:p>
        </w:tc>
      </w:tr>
      <w:tr w:rsidR="00D6249E" w:rsidRPr="00D6249E" w14:paraId="152F254D" w14:textId="77777777" w:rsidTr="008D185D">
        <w:trPr>
          <w:trHeight w:val="283"/>
        </w:trPr>
        <w:tc>
          <w:tcPr>
            <w:tcW w:w="2552" w:type="dxa"/>
            <w:tcBorders>
              <w:top w:val="single" w:sz="4" w:space="0" w:color="auto"/>
              <w:left w:val="single" w:sz="4" w:space="0" w:color="auto"/>
              <w:bottom w:val="single" w:sz="4" w:space="0" w:color="auto"/>
              <w:right w:val="single" w:sz="4" w:space="0" w:color="auto"/>
            </w:tcBorders>
            <w:vAlign w:val="center"/>
          </w:tcPr>
          <w:p w14:paraId="25DE97E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Dochody</w:t>
            </w:r>
          </w:p>
        </w:tc>
        <w:tc>
          <w:tcPr>
            <w:tcW w:w="1559" w:type="dxa"/>
            <w:tcBorders>
              <w:top w:val="single" w:sz="4" w:space="0" w:color="auto"/>
              <w:left w:val="single" w:sz="4" w:space="0" w:color="auto"/>
              <w:bottom w:val="single" w:sz="4" w:space="0" w:color="auto"/>
              <w:right w:val="single" w:sz="4" w:space="0" w:color="auto"/>
            </w:tcBorders>
            <w:vAlign w:val="center"/>
          </w:tcPr>
          <w:p w14:paraId="67755CB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44 934 950,56</w:t>
            </w:r>
          </w:p>
        </w:tc>
        <w:tc>
          <w:tcPr>
            <w:tcW w:w="1843" w:type="dxa"/>
            <w:tcBorders>
              <w:top w:val="single" w:sz="4" w:space="0" w:color="auto"/>
              <w:left w:val="single" w:sz="4" w:space="0" w:color="auto"/>
              <w:bottom w:val="single" w:sz="4" w:space="0" w:color="auto"/>
              <w:right w:val="single" w:sz="4" w:space="0" w:color="auto"/>
            </w:tcBorders>
            <w:vAlign w:val="center"/>
          </w:tcPr>
          <w:p w14:paraId="1C71D6D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46 080 933,00</w:t>
            </w:r>
          </w:p>
        </w:tc>
        <w:tc>
          <w:tcPr>
            <w:tcW w:w="1701" w:type="dxa"/>
            <w:tcBorders>
              <w:top w:val="single" w:sz="4" w:space="0" w:color="auto"/>
              <w:left w:val="single" w:sz="4" w:space="0" w:color="auto"/>
              <w:bottom w:val="single" w:sz="4" w:space="0" w:color="auto"/>
              <w:right w:val="single" w:sz="4" w:space="0" w:color="auto"/>
            </w:tcBorders>
            <w:vAlign w:val="center"/>
          </w:tcPr>
          <w:p w14:paraId="564C604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47 463 360,00</w:t>
            </w:r>
          </w:p>
        </w:tc>
        <w:tc>
          <w:tcPr>
            <w:tcW w:w="1417" w:type="dxa"/>
            <w:tcBorders>
              <w:top w:val="single" w:sz="4" w:space="0" w:color="auto"/>
              <w:left w:val="single" w:sz="4" w:space="0" w:color="auto"/>
              <w:bottom w:val="single" w:sz="4" w:space="0" w:color="auto"/>
              <w:right w:val="single" w:sz="4" w:space="0" w:color="auto"/>
            </w:tcBorders>
            <w:vAlign w:val="center"/>
          </w:tcPr>
          <w:p w14:paraId="4B158F8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48 887 260,00</w:t>
            </w:r>
          </w:p>
        </w:tc>
      </w:tr>
      <w:tr w:rsidR="00D6249E" w:rsidRPr="00D6249E" w14:paraId="0F379A3E" w14:textId="77777777" w:rsidTr="008D185D">
        <w:trPr>
          <w:trHeight w:val="283"/>
        </w:trPr>
        <w:tc>
          <w:tcPr>
            <w:tcW w:w="2552" w:type="dxa"/>
            <w:tcBorders>
              <w:top w:val="single" w:sz="4" w:space="0" w:color="auto"/>
              <w:left w:val="single" w:sz="4" w:space="0" w:color="auto"/>
              <w:bottom w:val="single" w:sz="4" w:space="0" w:color="auto"/>
              <w:right w:val="single" w:sz="4" w:space="0" w:color="auto"/>
            </w:tcBorders>
            <w:vAlign w:val="center"/>
          </w:tcPr>
          <w:p w14:paraId="4CB6C1D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Wydatki</w:t>
            </w:r>
          </w:p>
        </w:tc>
        <w:tc>
          <w:tcPr>
            <w:tcW w:w="1559" w:type="dxa"/>
            <w:tcBorders>
              <w:top w:val="single" w:sz="4" w:space="0" w:color="auto"/>
              <w:left w:val="single" w:sz="4" w:space="0" w:color="auto"/>
              <w:bottom w:val="single" w:sz="4" w:space="0" w:color="auto"/>
              <w:right w:val="single" w:sz="4" w:space="0" w:color="auto"/>
            </w:tcBorders>
            <w:vAlign w:val="center"/>
          </w:tcPr>
          <w:p w14:paraId="1A37C1F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47 165 683,53</w:t>
            </w:r>
          </w:p>
        </w:tc>
        <w:tc>
          <w:tcPr>
            <w:tcW w:w="1843" w:type="dxa"/>
            <w:tcBorders>
              <w:top w:val="single" w:sz="4" w:space="0" w:color="auto"/>
              <w:left w:val="single" w:sz="4" w:space="0" w:color="auto"/>
              <w:bottom w:val="single" w:sz="4" w:space="0" w:color="auto"/>
              <w:right w:val="single" w:sz="4" w:space="0" w:color="auto"/>
            </w:tcBorders>
            <w:vAlign w:val="center"/>
          </w:tcPr>
          <w:p w14:paraId="68188DD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44 720 933,00</w:t>
            </w:r>
          </w:p>
        </w:tc>
        <w:tc>
          <w:tcPr>
            <w:tcW w:w="1701" w:type="dxa"/>
            <w:tcBorders>
              <w:top w:val="single" w:sz="4" w:space="0" w:color="auto"/>
              <w:left w:val="single" w:sz="4" w:space="0" w:color="auto"/>
              <w:bottom w:val="single" w:sz="4" w:space="0" w:color="auto"/>
              <w:right w:val="single" w:sz="4" w:space="0" w:color="auto"/>
            </w:tcBorders>
            <w:vAlign w:val="center"/>
          </w:tcPr>
          <w:p w14:paraId="1106A05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45 403 360,00</w:t>
            </w:r>
          </w:p>
        </w:tc>
        <w:tc>
          <w:tcPr>
            <w:tcW w:w="1417" w:type="dxa"/>
            <w:tcBorders>
              <w:top w:val="single" w:sz="4" w:space="0" w:color="auto"/>
              <w:left w:val="single" w:sz="4" w:space="0" w:color="auto"/>
              <w:bottom w:val="single" w:sz="4" w:space="0" w:color="auto"/>
              <w:right w:val="single" w:sz="4" w:space="0" w:color="auto"/>
            </w:tcBorders>
            <w:vAlign w:val="center"/>
          </w:tcPr>
          <w:p w14:paraId="4642E42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46 017 497,01</w:t>
            </w:r>
          </w:p>
        </w:tc>
      </w:tr>
      <w:tr w:rsidR="00D6249E" w:rsidRPr="00D6249E" w14:paraId="4C0D6825" w14:textId="77777777" w:rsidTr="008D185D">
        <w:trPr>
          <w:trHeight w:val="283"/>
        </w:trPr>
        <w:tc>
          <w:tcPr>
            <w:tcW w:w="2552" w:type="dxa"/>
            <w:tcBorders>
              <w:top w:val="single" w:sz="4" w:space="0" w:color="auto"/>
              <w:left w:val="single" w:sz="4" w:space="0" w:color="auto"/>
              <w:bottom w:val="single" w:sz="4" w:space="0" w:color="auto"/>
              <w:right w:val="single" w:sz="4" w:space="0" w:color="auto"/>
            </w:tcBorders>
            <w:vAlign w:val="center"/>
          </w:tcPr>
          <w:p w14:paraId="6324E97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Wynik budżetu</w:t>
            </w:r>
          </w:p>
        </w:tc>
        <w:tc>
          <w:tcPr>
            <w:tcW w:w="1559" w:type="dxa"/>
            <w:tcBorders>
              <w:top w:val="single" w:sz="4" w:space="0" w:color="auto"/>
              <w:left w:val="single" w:sz="4" w:space="0" w:color="auto"/>
              <w:bottom w:val="single" w:sz="4" w:space="0" w:color="auto"/>
              <w:right w:val="single" w:sz="4" w:space="0" w:color="auto"/>
            </w:tcBorders>
            <w:vAlign w:val="center"/>
          </w:tcPr>
          <w:p w14:paraId="1A1DECE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-2 230 732,97</w:t>
            </w:r>
          </w:p>
        </w:tc>
        <w:tc>
          <w:tcPr>
            <w:tcW w:w="1843" w:type="dxa"/>
            <w:tcBorders>
              <w:top w:val="single" w:sz="4" w:space="0" w:color="auto"/>
              <w:left w:val="single" w:sz="4" w:space="0" w:color="auto"/>
              <w:bottom w:val="single" w:sz="4" w:space="0" w:color="auto"/>
              <w:right w:val="single" w:sz="4" w:space="0" w:color="auto"/>
            </w:tcBorders>
            <w:vAlign w:val="center"/>
          </w:tcPr>
          <w:p w14:paraId="0917006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1 360 000,00</w:t>
            </w:r>
          </w:p>
        </w:tc>
        <w:tc>
          <w:tcPr>
            <w:tcW w:w="1701" w:type="dxa"/>
            <w:tcBorders>
              <w:top w:val="single" w:sz="4" w:space="0" w:color="auto"/>
              <w:left w:val="single" w:sz="4" w:space="0" w:color="auto"/>
              <w:bottom w:val="single" w:sz="4" w:space="0" w:color="auto"/>
              <w:right w:val="single" w:sz="4" w:space="0" w:color="auto"/>
            </w:tcBorders>
            <w:vAlign w:val="center"/>
          </w:tcPr>
          <w:p w14:paraId="5276A9F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2 060 000,00</w:t>
            </w:r>
          </w:p>
        </w:tc>
        <w:tc>
          <w:tcPr>
            <w:tcW w:w="1417" w:type="dxa"/>
            <w:tcBorders>
              <w:top w:val="single" w:sz="4" w:space="0" w:color="auto"/>
              <w:left w:val="single" w:sz="4" w:space="0" w:color="auto"/>
              <w:bottom w:val="single" w:sz="4" w:space="0" w:color="auto"/>
              <w:right w:val="single" w:sz="4" w:space="0" w:color="auto"/>
            </w:tcBorders>
            <w:vAlign w:val="center"/>
          </w:tcPr>
          <w:p w14:paraId="2D630D9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2 869 762,99</w:t>
            </w:r>
          </w:p>
        </w:tc>
      </w:tr>
      <w:tr w:rsidR="00D6249E" w:rsidRPr="00D6249E" w14:paraId="135520C0" w14:textId="77777777" w:rsidTr="008D185D">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FCD5B5"/>
            <w:vAlign w:val="center"/>
          </w:tcPr>
          <w:p w14:paraId="39612AC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CD5B5"/>
            <w:vAlign w:val="center"/>
          </w:tcPr>
          <w:p w14:paraId="5FB4191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2025</w:t>
            </w:r>
          </w:p>
        </w:tc>
        <w:tc>
          <w:tcPr>
            <w:tcW w:w="1843" w:type="dxa"/>
            <w:tcBorders>
              <w:top w:val="single" w:sz="4" w:space="0" w:color="auto"/>
              <w:left w:val="single" w:sz="4" w:space="0" w:color="auto"/>
              <w:bottom w:val="single" w:sz="4" w:space="0" w:color="auto"/>
              <w:right w:val="single" w:sz="4" w:space="0" w:color="auto"/>
            </w:tcBorders>
            <w:shd w:val="clear" w:color="auto" w:fill="FCD5B5"/>
            <w:vAlign w:val="center"/>
          </w:tcPr>
          <w:p w14:paraId="1B339C0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2026</w:t>
            </w:r>
          </w:p>
        </w:tc>
        <w:tc>
          <w:tcPr>
            <w:tcW w:w="1701" w:type="dxa"/>
            <w:tcBorders>
              <w:top w:val="single" w:sz="4" w:space="0" w:color="auto"/>
              <w:left w:val="single" w:sz="4" w:space="0" w:color="auto"/>
              <w:bottom w:val="single" w:sz="4" w:space="0" w:color="auto"/>
              <w:right w:val="single" w:sz="4" w:space="0" w:color="auto"/>
            </w:tcBorders>
            <w:shd w:val="clear" w:color="auto" w:fill="FCD5B5"/>
            <w:vAlign w:val="center"/>
          </w:tcPr>
          <w:p w14:paraId="25F5075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2027</w:t>
            </w:r>
          </w:p>
        </w:tc>
        <w:tc>
          <w:tcPr>
            <w:tcW w:w="1417" w:type="dxa"/>
            <w:tcBorders>
              <w:top w:val="single" w:sz="4" w:space="0" w:color="auto"/>
              <w:left w:val="single" w:sz="4" w:space="0" w:color="auto"/>
              <w:bottom w:val="single" w:sz="4" w:space="0" w:color="auto"/>
              <w:right w:val="single" w:sz="4" w:space="0" w:color="auto"/>
            </w:tcBorders>
            <w:shd w:val="clear" w:color="auto" w:fill="FCD5B5"/>
            <w:vAlign w:val="center"/>
          </w:tcPr>
          <w:p w14:paraId="44267B4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2028</w:t>
            </w:r>
          </w:p>
        </w:tc>
      </w:tr>
      <w:tr w:rsidR="00D6249E" w:rsidRPr="00D6249E" w14:paraId="218E7B4A" w14:textId="77777777" w:rsidTr="008D185D">
        <w:trPr>
          <w:trHeight w:val="283"/>
        </w:trPr>
        <w:tc>
          <w:tcPr>
            <w:tcW w:w="2552" w:type="dxa"/>
            <w:tcBorders>
              <w:top w:val="single" w:sz="4" w:space="0" w:color="auto"/>
              <w:left w:val="single" w:sz="4" w:space="0" w:color="auto"/>
              <w:bottom w:val="single" w:sz="4" w:space="0" w:color="auto"/>
              <w:right w:val="single" w:sz="4" w:space="0" w:color="auto"/>
            </w:tcBorders>
            <w:vAlign w:val="center"/>
          </w:tcPr>
          <w:p w14:paraId="43D62F2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Dochody</w:t>
            </w:r>
          </w:p>
        </w:tc>
        <w:tc>
          <w:tcPr>
            <w:tcW w:w="1559" w:type="dxa"/>
            <w:tcBorders>
              <w:top w:val="single" w:sz="4" w:space="0" w:color="auto"/>
              <w:left w:val="single" w:sz="4" w:space="0" w:color="auto"/>
              <w:bottom w:val="single" w:sz="4" w:space="0" w:color="auto"/>
              <w:right w:val="single" w:sz="4" w:space="0" w:color="auto"/>
            </w:tcBorders>
            <w:vAlign w:val="center"/>
          </w:tcPr>
          <w:p w14:paraId="0ADCD1D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50 353 877,00</w:t>
            </w:r>
          </w:p>
        </w:tc>
        <w:tc>
          <w:tcPr>
            <w:tcW w:w="1843" w:type="dxa"/>
            <w:tcBorders>
              <w:top w:val="single" w:sz="4" w:space="0" w:color="auto"/>
              <w:left w:val="single" w:sz="4" w:space="0" w:color="auto"/>
              <w:bottom w:val="single" w:sz="4" w:space="0" w:color="auto"/>
              <w:right w:val="single" w:sz="4" w:space="0" w:color="auto"/>
            </w:tcBorders>
            <w:vAlign w:val="center"/>
          </w:tcPr>
          <w:p w14:paraId="546B5F6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51 914 847,00</w:t>
            </w:r>
          </w:p>
        </w:tc>
        <w:tc>
          <w:tcPr>
            <w:tcW w:w="1701" w:type="dxa"/>
            <w:tcBorders>
              <w:top w:val="single" w:sz="4" w:space="0" w:color="auto"/>
              <w:left w:val="single" w:sz="4" w:space="0" w:color="auto"/>
              <w:bottom w:val="single" w:sz="4" w:space="0" w:color="auto"/>
              <w:right w:val="single" w:sz="4" w:space="0" w:color="auto"/>
            </w:tcBorders>
            <w:vAlign w:val="center"/>
          </w:tcPr>
          <w:p w14:paraId="3636D52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53 524 207,00</w:t>
            </w:r>
          </w:p>
        </w:tc>
        <w:tc>
          <w:tcPr>
            <w:tcW w:w="1417" w:type="dxa"/>
            <w:tcBorders>
              <w:top w:val="single" w:sz="4" w:space="0" w:color="auto"/>
              <w:left w:val="single" w:sz="4" w:space="0" w:color="auto"/>
              <w:bottom w:val="single" w:sz="4" w:space="0" w:color="auto"/>
              <w:right w:val="single" w:sz="4" w:space="0" w:color="auto"/>
            </w:tcBorders>
            <w:vAlign w:val="center"/>
          </w:tcPr>
          <w:p w14:paraId="709BBC2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55 129 933,00</w:t>
            </w:r>
          </w:p>
        </w:tc>
      </w:tr>
      <w:tr w:rsidR="00D6249E" w:rsidRPr="00D6249E" w14:paraId="0EA25C02" w14:textId="77777777" w:rsidTr="008D185D">
        <w:trPr>
          <w:trHeight w:val="283"/>
        </w:trPr>
        <w:tc>
          <w:tcPr>
            <w:tcW w:w="2552" w:type="dxa"/>
            <w:tcBorders>
              <w:top w:val="single" w:sz="4" w:space="0" w:color="auto"/>
              <w:left w:val="single" w:sz="4" w:space="0" w:color="auto"/>
              <w:bottom w:val="single" w:sz="4" w:space="0" w:color="auto"/>
              <w:right w:val="single" w:sz="4" w:space="0" w:color="auto"/>
            </w:tcBorders>
            <w:vAlign w:val="center"/>
          </w:tcPr>
          <w:p w14:paraId="721C8C3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Wydatki</w:t>
            </w:r>
          </w:p>
        </w:tc>
        <w:tc>
          <w:tcPr>
            <w:tcW w:w="1559" w:type="dxa"/>
            <w:tcBorders>
              <w:top w:val="single" w:sz="4" w:space="0" w:color="auto"/>
              <w:left w:val="single" w:sz="4" w:space="0" w:color="auto"/>
              <w:bottom w:val="single" w:sz="4" w:space="0" w:color="auto"/>
              <w:right w:val="single" w:sz="4" w:space="0" w:color="auto"/>
            </w:tcBorders>
            <w:vAlign w:val="center"/>
          </w:tcPr>
          <w:p w14:paraId="4C3CEF8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47 453 877,00</w:t>
            </w:r>
          </w:p>
        </w:tc>
        <w:tc>
          <w:tcPr>
            <w:tcW w:w="1843" w:type="dxa"/>
            <w:tcBorders>
              <w:top w:val="single" w:sz="4" w:space="0" w:color="auto"/>
              <w:left w:val="single" w:sz="4" w:space="0" w:color="auto"/>
              <w:bottom w:val="single" w:sz="4" w:space="0" w:color="auto"/>
              <w:right w:val="single" w:sz="4" w:space="0" w:color="auto"/>
            </w:tcBorders>
            <w:vAlign w:val="center"/>
          </w:tcPr>
          <w:p w14:paraId="58BCFEB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49 550 847,00</w:t>
            </w:r>
          </w:p>
        </w:tc>
        <w:tc>
          <w:tcPr>
            <w:tcW w:w="1701" w:type="dxa"/>
            <w:tcBorders>
              <w:top w:val="single" w:sz="4" w:space="0" w:color="auto"/>
              <w:left w:val="single" w:sz="4" w:space="0" w:color="auto"/>
              <w:bottom w:val="single" w:sz="4" w:space="0" w:color="auto"/>
              <w:right w:val="single" w:sz="4" w:space="0" w:color="auto"/>
            </w:tcBorders>
            <w:vAlign w:val="center"/>
          </w:tcPr>
          <w:p w14:paraId="65842D3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51 925 963,57</w:t>
            </w:r>
          </w:p>
        </w:tc>
        <w:tc>
          <w:tcPr>
            <w:tcW w:w="1417" w:type="dxa"/>
            <w:tcBorders>
              <w:top w:val="single" w:sz="4" w:space="0" w:color="auto"/>
              <w:left w:val="single" w:sz="4" w:space="0" w:color="auto"/>
              <w:bottom w:val="single" w:sz="4" w:space="0" w:color="auto"/>
              <w:right w:val="single" w:sz="4" w:space="0" w:color="auto"/>
            </w:tcBorders>
            <w:vAlign w:val="center"/>
          </w:tcPr>
          <w:p w14:paraId="1AC83B9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53 829 933,00</w:t>
            </w:r>
          </w:p>
        </w:tc>
      </w:tr>
      <w:tr w:rsidR="00D6249E" w:rsidRPr="00D6249E" w14:paraId="0ECF168E" w14:textId="77777777" w:rsidTr="008D185D">
        <w:trPr>
          <w:trHeight w:val="283"/>
        </w:trPr>
        <w:tc>
          <w:tcPr>
            <w:tcW w:w="2552" w:type="dxa"/>
            <w:tcBorders>
              <w:top w:val="single" w:sz="4" w:space="0" w:color="auto"/>
              <w:left w:val="single" w:sz="4" w:space="0" w:color="auto"/>
              <w:bottom w:val="single" w:sz="4" w:space="0" w:color="auto"/>
              <w:right w:val="single" w:sz="4" w:space="0" w:color="auto"/>
            </w:tcBorders>
            <w:vAlign w:val="center"/>
          </w:tcPr>
          <w:p w14:paraId="05B077E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Wynik budżetu</w:t>
            </w:r>
          </w:p>
        </w:tc>
        <w:tc>
          <w:tcPr>
            <w:tcW w:w="1559" w:type="dxa"/>
            <w:tcBorders>
              <w:top w:val="single" w:sz="4" w:space="0" w:color="auto"/>
              <w:left w:val="single" w:sz="4" w:space="0" w:color="auto"/>
              <w:bottom w:val="single" w:sz="4" w:space="0" w:color="auto"/>
              <w:right w:val="single" w:sz="4" w:space="0" w:color="auto"/>
            </w:tcBorders>
            <w:vAlign w:val="center"/>
          </w:tcPr>
          <w:p w14:paraId="5DF4446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2 900 000,00</w:t>
            </w:r>
          </w:p>
        </w:tc>
        <w:tc>
          <w:tcPr>
            <w:tcW w:w="1843" w:type="dxa"/>
            <w:tcBorders>
              <w:top w:val="single" w:sz="4" w:space="0" w:color="auto"/>
              <w:left w:val="single" w:sz="4" w:space="0" w:color="auto"/>
              <w:bottom w:val="single" w:sz="4" w:space="0" w:color="auto"/>
              <w:right w:val="single" w:sz="4" w:space="0" w:color="auto"/>
            </w:tcBorders>
            <w:vAlign w:val="center"/>
          </w:tcPr>
          <w:p w14:paraId="7EF06CA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2 364 000,00</w:t>
            </w:r>
          </w:p>
        </w:tc>
        <w:tc>
          <w:tcPr>
            <w:tcW w:w="1701" w:type="dxa"/>
            <w:tcBorders>
              <w:top w:val="single" w:sz="4" w:space="0" w:color="auto"/>
              <w:left w:val="single" w:sz="4" w:space="0" w:color="auto"/>
              <w:bottom w:val="single" w:sz="4" w:space="0" w:color="auto"/>
              <w:right w:val="single" w:sz="4" w:space="0" w:color="auto"/>
            </w:tcBorders>
            <w:vAlign w:val="center"/>
          </w:tcPr>
          <w:p w14:paraId="6884D83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1 598 243,43</w:t>
            </w:r>
          </w:p>
        </w:tc>
        <w:tc>
          <w:tcPr>
            <w:tcW w:w="1417" w:type="dxa"/>
            <w:tcBorders>
              <w:top w:val="single" w:sz="4" w:space="0" w:color="auto"/>
              <w:left w:val="single" w:sz="4" w:space="0" w:color="auto"/>
              <w:bottom w:val="single" w:sz="4" w:space="0" w:color="auto"/>
              <w:right w:val="single" w:sz="4" w:space="0" w:color="auto"/>
            </w:tcBorders>
            <w:vAlign w:val="center"/>
          </w:tcPr>
          <w:p w14:paraId="4B68CEB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1 300 000,00</w:t>
            </w:r>
          </w:p>
        </w:tc>
      </w:tr>
      <w:tr w:rsidR="00D6249E" w:rsidRPr="00D6249E" w14:paraId="70AEA44E" w14:textId="77777777" w:rsidTr="008D185D">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FCD5B5"/>
            <w:vAlign w:val="center"/>
          </w:tcPr>
          <w:p w14:paraId="39A0F16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CD5B5"/>
            <w:vAlign w:val="center"/>
          </w:tcPr>
          <w:p w14:paraId="6E5A79A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2029</w:t>
            </w:r>
          </w:p>
        </w:tc>
        <w:tc>
          <w:tcPr>
            <w:tcW w:w="4961" w:type="dxa"/>
            <w:gridSpan w:val="3"/>
            <w:vMerge w:val="restart"/>
            <w:tcBorders>
              <w:top w:val="single" w:sz="4" w:space="0" w:color="auto"/>
              <w:left w:val="single" w:sz="4" w:space="0" w:color="auto"/>
              <w:bottom w:val="nil"/>
            </w:tcBorders>
            <w:vAlign w:val="center"/>
          </w:tcPr>
          <w:p w14:paraId="1FFAB99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p>
        </w:tc>
      </w:tr>
      <w:tr w:rsidR="00D6249E" w:rsidRPr="00D6249E" w14:paraId="53F23095" w14:textId="77777777" w:rsidTr="008D185D">
        <w:trPr>
          <w:trHeight w:val="283"/>
        </w:trPr>
        <w:tc>
          <w:tcPr>
            <w:tcW w:w="2552" w:type="dxa"/>
            <w:tcBorders>
              <w:top w:val="single" w:sz="4" w:space="0" w:color="auto"/>
              <w:left w:val="single" w:sz="4" w:space="0" w:color="auto"/>
              <w:bottom w:val="single" w:sz="4" w:space="0" w:color="auto"/>
              <w:right w:val="single" w:sz="4" w:space="0" w:color="auto"/>
            </w:tcBorders>
            <w:vAlign w:val="center"/>
          </w:tcPr>
          <w:p w14:paraId="76E224F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Dochody</w:t>
            </w:r>
          </w:p>
        </w:tc>
        <w:tc>
          <w:tcPr>
            <w:tcW w:w="1559" w:type="dxa"/>
            <w:tcBorders>
              <w:top w:val="single" w:sz="4" w:space="0" w:color="auto"/>
              <w:left w:val="single" w:sz="4" w:space="0" w:color="auto"/>
              <w:bottom w:val="single" w:sz="4" w:space="0" w:color="auto"/>
              <w:right w:val="single" w:sz="4" w:space="0" w:color="auto"/>
            </w:tcBorders>
            <w:vAlign w:val="center"/>
          </w:tcPr>
          <w:p w14:paraId="5CB20A6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56 673 571,00</w:t>
            </w:r>
          </w:p>
        </w:tc>
        <w:tc>
          <w:tcPr>
            <w:tcW w:w="4961" w:type="dxa"/>
            <w:gridSpan w:val="3"/>
            <w:vMerge/>
            <w:tcBorders>
              <w:top w:val="nil"/>
              <w:left w:val="single" w:sz="4" w:space="0" w:color="auto"/>
              <w:bottom w:val="single" w:sz="4" w:space="0" w:color="auto"/>
            </w:tcBorders>
            <w:vAlign w:val="center"/>
          </w:tcPr>
          <w:p w14:paraId="3545DB13" w14:textId="77777777" w:rsidR="00D6249E" w:rsidRPr="00D6249E" w:rsidRDefault="00D6249E" w:rsidP="00D6249E">
            <w:pPr>
              <w:widowControl w:val="0"/>
              <w:autoSpaceDE w:val="0"/>
              <w:autoSpaceDN w:val="0"/>
              <w:adjustRightInd w:val="0"/>
              <w:rPr>
                <w:rFonts w:eastAsiaTheme="minorHAnsi"/>
                <w:sz w:val="22"/>
                <w:szCs w:val="22"/>
                <w:lang w:eastAsia="en-US"/>
              </w:rPr>
            </w:pPr>
          </w:p>
        </w:tc>
      </w:tr>
      <w:tr w:rsidR="00D6249E" w:rsidRPr="00D6249E" w14:paraId="1A6EC551" w14:textId="77777777" w:rsidTr="008D185D">
        <w:trPr>
          <w:trHeight w:val="283"/>
        </w:trPr>
        <w:tc>
          <w:tcPr>
            <w:tcW w:w="2552" w:type="dxa"/>
            <w:tcBorders>
              <w:top w:val="single" w:sz="4" w:space="0" w:color="auto"/>
              <w:left w:val="single" w:sz="4" w:space="0" w:color="auto"/>
              <w:bottom w:val="single" w:sz="4" w:space="0" w:color="auto"/>
              <w:right w:val="single" w:sz="4" w:space="0" w:color="auto"/>
            </w:tcBorders>
            <w:vAlign w:val="center"/>
          </w:tcPr>
          <w:p w14:paraId="0D3EA55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Wydatki</w:t>
            </w:r>
          </w:p>
        </w:tc>
        <w:tc>
          <w:tcPr>
            <w:tcW w:w="1559" w:type="dxa"/>
            <w:tcBorders>
              <w:top w:val="single" w:sz="4" w:space="0" w:color="auto"/>
              <w:left w:val="single" w:sz="4" w:space="0" w:color="auto"/>
              <w:bottom w:val="single" w:sz="4" w:space="0" w:color="auto"/>
              <w:right w:val="single" w:sz="4" w:space="0" w:color="auto"/>
            </w:tcBorders>
            <w:vAlign w:val="center"/>
          </w:tcPr>
          <w:p w14:paraId="3758B81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55 379 298,46</w:t>
            </w:r>
          </w:p>
        </w:tc>
        <w:tc>
          <w:tcPr>
            <w:tcW w:w="4961" w:type="dxa"/>
            <w:gridSpan w:val="3"/>
            <w:vMerge/>
            <w:tcBorders>
              <w:top w:val="nil"/>
              <w:left w:val="single" w:sz="4" w:space="0" w:color="auto"/>
              <w:bottom w:val="single" w:sz="4" w:space="0" w:color="auto"/>
            </w:tcBorders>
            <w:vAlign w:val="center"/>
          </w:tcPr>
          <w:p w14:paraId="619B35E0" w14:textId="77777777" w:rsidR="00D6249E" w:rsidRPr="00D6249E" w:rsidRDefault="00D6249E" w:rsidP="00D6249E">
            <w:pPr>
              <w:widowControl w:val="0"/>
              <w:autoSpaceDE w:val="0"/>
              <w:autoSpaceDN w:val="0"/>
              <w:adjustRightInd w:val="0"/>
              <w:rPr>
                <w:rFonts w:eastAsiaTheme="minorHAnsi"/>
                <w:sz w:val="22"/>
                <w:szCs w:val="22"/>
                <w:lang w:eastAsia="en-US"/>
              </w:rPr>
            </w:pPr>
          </w:p>
        </w:tc>
      </w:tr>
      <w:tr w:rsidR="00D6249E" w:rsidRPr="00D6249E" w14:paraId="32D2DD37" w14:textId="77777777" w:rsidTr="008D185D">
        <w:trPr>
          <w:trHeight w:val="283"/>
        </w:trPr>
        <w:tc>
          <w:tcPr>
            <w:tcW w:w="2552" w:type="dxa"/>
            <w:tcBorders>
              <w:top w:val="single" w:sz="4" w:space="0" w:color="auto"/>
              <w:left w:val="single" w:sz="4" w:space="0" w:color="auto"/>
              <w:bottom w:val="single" w:sz="4" w:space="0" w:color="auto"/>
              <w:right w:val="single" w:sz="4" w:space="0" w:color="auto"/>
            </w:tcBorders>
            <w:vAlign w:val="center"/>
          </w:tcPr>
          <w:p w14:paraId="2694805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Wynik budżetu</w:t>
            </w:r>
          </w:p>
        </w:tc>
        <w:tc>
          <w:tcPr>
            <w:tcW w:w="1559" w:type="dxa"/>
            <w:tcBorders>
              <w:top w:val="single" w:sz="4" w:space="0" w:color="auto"/>
              <w:left w:val="single" w:sz="4" w:space="0" w:color="auto"/>
              <w:bottom w:val="single" w:sz="4" w:space="0" w:color="auto"/>
              <w:right w:val="single" w:sz="4" w:space="0" w:color="auto"/>
            </w:tcBorders>
            <w:vAlign w:val="center"/>
          </w:tcPr>
          <w:p w14:paraId="2A0BF06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sz w:val="22"/>
                <w:szCs w:val="22"/>
                <w:lang w:eastAsia="en-US"/>
              </w:rPr>
              <w:t>1 294 272,54</w:t>
            </w:r>
          </w:p>
        </w:tc>
        <w:tc>
          <w:tcPr>
            <w:tcW w:w="4961" w:type="dxa"/>
            <w:gridSpan w:val="3"/>
            <w:vMerge/>
            <w:tcBorders>
              <w:top w:val="nil"/>
              <w:left w:val="single" w:sz="4" w:space="0" w:color="auto"/>
              <w:bottom w:val="nil"/>
            </w:tcBorders>
            <w:vAlign w:val="center"/>
          </w:tcPr>
          <w:p w14:paraId="2713849A" w14:textId="77777777" w:rsidR="00D6249E" w:rsidRPr="00D6249E" w:rsidRDefault="00D6249E" w:rsidP="00D6249E">
            <w:pPr>
              <w:widowControl w:val="0"/>
              <w:autoSpaceDE w:val="0"/>
              <w:autoSpaceDN w:val="0"/>
              <w:adjustRightInd w:val="0"/>
              <w:rPr>
                <w:rFonts w:eastAsiaTheme="minorHAnsi"/>
                <w:sz w:val="22"/>
                <w:szCs w:val="22"/>
                <w:lang w:eastAsia="en-US"/>
              </w:rPr>
            </w:pPr>
          </w:p>
        </w:tc>
      </w:tr>
    </w:tbl>
    <w:p w14:paraId="5E7D5594" w14:textId="3DC3CC19" w:rsid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r w:rsidRPr="00D6249E">
        <w:rPr>
          <w:rFonts w:eastAsiaTheme="minorHAnsi"/>
          <w:sz w:val="22"/>
          <w:szCs w:val="22"/>
          <w:lang w:eastAsia="en-US"/>
        </w:rPr>
        <w:t>Źródło: Opracowanie własne.</w:t>
      </w:r>
    </w:p>
    <w:p w14:paraId="1B79B453" w14:textId="77777777" w:rsidR="009464FC" w:rsidRPr="00D6249E" w:rsidRDefault="009464FC"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p>
    <w:p w14:paraId="0948FD5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b/>
          <w:bCs/>
          <w:lang w:eastAsia="en-US"/>
        </w:rPr>
        <w:t>5. Przychody</w:t>
      </w:r>
    </w:p>
    <w:p w14:paraId="502C902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W wysokości 3.610.733 zł zaplanowano przychody w budżecie Gminy Duszniki na 2021 r. Przychody Gminy Duszniki w 2021 r. obejmują:</w:t>
      </w:r>
    </w:p>
    <w:p w14:paraId="58A33149" w14:textId="77777777" w:rsidR="00D6249E" w:rsidRPr="00D6249E" w:rsidRDefault="00D6249E" w:rsidP="00D6249E">
      <w:pPr>
        <w:widowControl w:val="0"/>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w kwocie 3.110.733 zł przychody z tytułu kredytów, pożyczek lub emisji papierów wartościowych;</w:t>
      </w:r>
    </w:p>
    <w:p w14:paraId="07A6A6CC" w14:textId="77777777" w:rsidR="00D6249E" w:rsidRPr="00D6249E" w:rsidRDefault="00D6249E" w:rsidP="00D6249E">
      <w:pPr>
        <w:widowControl w:val="0"/>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w kwocie 500.000 zł nadwyżkę z lat ubiegłych;</w:t>
      </w:r>
    </w:p>
    <w:p w14:paraId="1F599B7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Planowana w budżecie Gminy Duszniki nadwyżka budżetowa z lat ubiegłych dotyczy środków z Rządowego Funduszu Inwestycji Lokalnych, które wpłynęły na konto bankowe Gminy w 2020 roku. Przewiduje się, że do końca roku budżetowego 2020 środki nie zostaną one wydatkowane, w związku z powyższym, w budżecie Gminy Duszniki na 2021 r. zaplanowano przychody na §905, który obejmują przychody jednostek samorządu terytorialnego z niewykorzystanych środków pieniężnych na rachunku bieżącym budżetu, wynikających z rozliczenia dochodów i wydatków nimi finansowanych związanych ze szczególnymi zasadami wykonywania budżetu określonymi w odrębnych ustawach.</w:t>
      </w:r>
    </w:p>
    <w:p w14:paraId="4BAD8596" w14:textId="0C2C08F5" w:rsid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W latach 2022-2029 przychodów nie planuje się.</w:t>
      </w:r>
    </w:p>
    <w:p w14:paraId="10604871" w14:textId="58C7DBAF" w:rsidR="009464FC" w:rsidRDefault="009464FC"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p>
    <w:p w14:paraId="0643B11A" w14:textId="77777777" w:rsidR="009464FC" w:rsidRPr="00D6249E" w:rsidRDefault="009464FC"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p>
    <w:p w14:paraId="5AEA9A2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b/>
          <w:bCs/>
          <w:lang w:eastAsia="en-US"/>
        </w:rPr>
        <w:t>6. Rozchody</w:t>
      </w:r>
    </w:p>
    <w:p w14:paraId="752932D1" w14:textId="4C0FEC17" w:rsid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Na dzień 31.12.2020 kwota zadłużenia, wpływająca na kształtowanie się wskaźnika faktycznej obsługi zadłużenia, wynikająca z zaciągniętych kredytów, pożyczek i wyemitowanych obligacji wynosi 14 015 545,99 zł, a jego spłata planowana jest do roku 2026. W WPF Gminy Duszniki uwzględnia się również spłatę zobowiązania planowanego do zaciągnięcia w 2021 r. w wysokości 3.110.733 zł.</w:t>
      </w:r>
    </w:p>
    <w:p w14:paraId="59C6E173" w14:textId="77777777" w:rsidR="009464FC" w:rsidRPr="00D6249E" w:rsidRDefault="009464FC"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p>
    <w:p w14:paraId="488F7BE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lang w:eastAsia="en-US"/>
        </w:rPr>
      </w:pPr>
      <w:r w:rsidRPr="00D6249E">
        <w:rPr>
          <w:rFonts w:eastAsiaTheme="minorHAnsi"/>
          <w:b/>
          <w:bCs/>
          <w:lang w:eastAsia="en-US"/>
        </w:rPr>
        <w:lastRenderedPageBreak/>
        <w:t>Tabela 6. Spłata zaciągniętych i planowanych zobowiązań Gminy Duszniki</w:t>
      </w:r>
    </w:p>
    <w:p w14:paraId="4391300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sz w:val="22"/>
          <w:szCs w:val="22"/>
          <w:lang w:eastAsia="en-US"/>
        </w:rPr>
      </w:pPr>
    </w:p>
    <w:tbl>
      <w:tblPr>
        <w:tblW w:w="9072" w:type="dxa"/>
        <w:tblInd w:w="-5" w:type="dxa"/>
        <w:tblLayout w:type="fixed"/>
        <w:tblCellMar>
          <w:left w:w="10" w:type="dxa"/>
          <w:right w:w="10" w:type="dxa"/>
        </w:tblCellMar>
        <w:tblLook w:val="0000" w:firstRow="0" w:lastRow="0" w:firstColumn="0" w:lastColumn="0" w:noHBand="0" w:noVBand="0"/>
      </w:tblPr>
      <w:tblGrid>
        <w:gridCol w:w="1985"/>
        <w:gridCol w:w="1701"/>
        <w:gridCol w:w="1701"/>
        <w:gridCol w:w="1843"/>
        <w:gridCol w:w="1842"/>
      </w:tblGrid>
      <w:tr w:rsidR="00D6249E" w:rsidRPr="00D6249E" w14:paraId="0D548459" w14:textId="77777777" w:rsidTr="009464FC">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CD5B5"/>
            <w:vAlign w:val="center"/>
          </w:tcPr>
          <w:p w14:paraId="33ED221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Wyszczególnienie</w:t>
            </w:r>
          </w:p>
        </w:tc>
        <w:tc>
          <w:tcPr>
            <w:tcW w:w="1701" w:type="dxa"/>
            <w:tcBorders>
              <w:top w:val="single" w:sz="4" w:space="0" w:color="auto"/>
              <w:left w:val="single" w:sz="4" w:space="0" w:color="auto"/>
              <w:bottom w:val="single" w:sz="4" w:space="0" w:color="auto"/>
              <w:right w:val="single" w:sz="4" w:space="0" w:color="auto"/>
            </w:tcBorders>
            <w:shd w:val="clear" w:color="auto" w:fill="FCD5B5"/>
            <w:vAlign w:val="center"/>
          </w:tcPr>
          <w:p w14:paraId="2B427FA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2021</w:t>
            </w:r>
          </w:p>
        </w:tc>
        <w:tc>
          <w:tcPr>
            <w:tcW w:w="1701" w:type="dxa"/>
            <w:tcBorders>
              <w:top w:val="single" w:sz="4" w:space="0" w:color="auto"/>
              <w:left w:val="single" w:sz="4" w:space="0" w:color="auto"/>
              <w:bottom w:val="single" w:sz="4" w:space="0" w:color="auto"/>
              <w:right w:val="single" w:sz="4" w:space="0" w:color="auto"/>
            </w:tcBorders>
            <w:shd w:val="clear" w:color="auto" w:fill="FCD5B5"/>
            <w:vAlign w:val="center"/>
          </w:tcPr>
          <w:p w14:paraId="3127668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2022</w:t>
            </w:r>
          </w:p>
        </w:tc>
        <w:tc>
          <w:tcPr>
            <w:tcW w:w="1843" w:type="dxa"/>
            <w:tcBorders>
              <w:top w:val="single" w:sz="4" w:space="0" w:color="auto"/>
              <w:left w:val="single" w:sz="4" w:space="0" w:color="auto"/>
              <w:bottom w:val="single" w:sz="4" w:space="0" w:color="auto"/>
              <w:right w:val="single" w:sz="4" w:space="0" w:color="auto"/>
            </w:tcBorders>
            <w:shd w:val="clear" w:color="auto" w:fill="FCD5B5"/>
            <w:vAlign w:val="center"/>
          </w:tcPr>
          <w:p w14:paraId="4F9552D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2023</w:t>
            </w:r>
          </w:p>
        </w:tc>
        <w:tc>
          <w:tcPr>
            <w:tcW w:w="1842" w:type="dxa"/>
            <w:tcBorders>
              <w:top w:val="single" w:sz="4" w:space="0" w:color="auto"/>
              <w:left w:val="single" w:sz="4" w:space="0" w:color="auto"/>
              <w:bottom w:val="single" w:sz="4" w:space="0" w:color="auto"/>
              <w:right w:val="single" w:sz="4" w:space="0" w:color="auto"/>
            </w:tcBorders>
            <w:shd w:val="clear" w:color="auto" w:fill="FCD5B5"/>
            <w:vAlign w:val="center"/>
          </w:tcPr>
          <w:p w14:paraId="2E97B70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2024</w:t>
            </w:r>
          </w:p>
        </w:tc>
      </w:tr>
      <w:tr w:rsidR="00D6249E" w:rsidRPr="00D6249E" w14:paraId="3A61335F" w14:textId="77777777" w:rsidTr="009464FC">
        <w:trPr>
          <w:trHeight w:val="340"/>
        </w:trPr>
        <w:tc>
          <w:tcPr>
            <w:tcW w:w="1985" w:type="dxa"/>
            <w:tcBorders>
              <w:top w:val="single" w:sz="4" w:space="0" w:color="auto"/>
              <w:left w:val="single" w:sz="4" w:space="0" w:color="auto"/>
              <w:bottom w:val="single" w:sz="4" w:space="0" w:color="auto"/>
              <w:right w:val="single" w:sz="4" w:space="0" w:color="auto"/>
            </w:tcBorders>
            <w:vAlign w:val="center"/>
          </w:tcPr>
          <w:p w14:paraId="7E65FBC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Zobowiązania historyczne*</w:t>
            </w:r>
          </w:p>
        </w:tc>
        <w:tc>
          <w:tcPr>
            <w:tcW w:w="1701" w:type="dxa"/>
            <w:tcBorders>
              <w:top w:val="single" w:sz="4" w:space="0" w:color="auto"/>
              <w:left w:val="single" w:sz="4" w:space="0" w:color="auto"/>
              <w:bottom w:val="single" w:sz="4" w:space="0" w:color="auto"/>
              <w:right w:val="single" w:sz="4" w:space="0" w:color="auto"/>
            </w:tcBorders>
            <w:vAlign w:val="center"/>
          </w:tcPr>
          <w:p w14:paraId="2979235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1 300 000,00</w:t>
            </w:r>
          </w:p>
        </w:tc>
        <w:tc>
          <w:tcPr>
            <w:tcW w:w="1701" w:type="dxa"/>
            <w:tcBorders>
              <w:top w:val="single" w:sz="4" w:space="0" w:color="auto"/>
              <w:left w:val="single" w:sz="4" w:space="0" w:color="auto"/>
              <w:bottom w:val="single" w:sz="4" w:space="0" w:color="auto"/>
              <w:right w:val="single" w:sz="4" w:space="0" w:color="auto"/>
            </w:tcBorders>
            <w:vAlign w:val="center"/>
          </w:tcPr>
          <w:p w14:paraId="274E7C6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1 350 000,00</w:t>
            </w:r>
          </w:p>
        </w:tc>
        <w:tc>
          <w:tcPr>
            <w:tcW w:w="1843" w:type="dxa"/>
            <w:tcBorders>
              <w:top w:val="single" w:sz="4" w:space="0" w:color="auto"/>
              <w:left w:val="single" w:sz="4" w:space="0" w:color="auto"/>
              <w:bottom w:val="single" w:sz="4" w:space="0" w:color="auto"/>
              <w:right w:val="single" w:sz="4" w:space="0" w:color="auto"/>
            </w:tcBorders>
            <w:vAlign w:val="center"/>
          </w:tcPr>
          <w:p w14:paraId="0908530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2 050 000,00</w:t>
            </w:r>
          </w:p>
        </w:tc>
        <w:tc>
          <w:tcPr>
            <w:tcW w:w="1842" w:type="dxa"/>
            <w:tcBorders>
              <w:top w:val="single" w:sz="4" w:space="0" w:color="auto"/>
              <w:left w:val="single" w:sz="4" w:space="0" w:color="auto"/>
              <w:bottom w:val="single" w:sz="4" w:space="0" w:color="auto"/>
              <w:right w:val="single" w:sz="4" w:space="0" w:color="auto"/>
            </w:tcBorders>
            <w:vAlign w:val="center"/>
          </w:tcPr>
          <w:p w14:paraId="1F6680A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2 859 762,99</w:t>
            </w:r>
          </w:p>
        </w:tc>
      </w:tr>
      <w:tr w:rsidR="00D6249E" w:rsidRPr="00D6249E" w14:paraId="429D682E" w14:textId="77777777" w:rsidTr="009464FC">
        <w:trPr>
          <w:trHeight w:val="340"/>
        </w:trPr>
        <w:tc>
          <w:tcPr>
            <w:tcW w:w="1985" w:type="dxa"/>
            <w:tcBorders>
              <w:top w:val="single" w:sz="4" w:space="0" w:color="auto"/>
              <w:left w:val="single" w:sz="4" w:space="0" w:color="auto"/>
              <w:bottom w:val="single" w:sz="4" w:space="0" w:color="auto"/>
              <w:right w:val="single" w:sz="4" w:space="0" w:color="auto"/>
            </w:tcBorders>
            <w:vAlign w:val="center"/>
          </w:tcPr>
          <w:p w14:paraId="3DFC94A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Kredyt planowany (2021)</w:t>
            </w:r>
          </w:p>
        </w:tc>
        <w:tc>
          <w:tcPr>
            <w:tcW w:w="1701" w:type="dxa"/>
            <w:tcBorders>
              <w:top w:val="single" w:sz="4" w:space="0" w:color="auto"/>
              <w:left w:val="single" w:sz="4" w:space="0" w:color="auto"/>
              <w:bottom w:val="single" w:sz="4" w:space="0" w:color="auto"/>
              <w:right w:val="single" w:sz="4" w:space="0" w:color="auto"/>
            </w:tcBorders>
            <w:vAlign w:val="center"/>
          </w:tcPr>
          <w:p w14:paraId="1DDFE65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80 000,00</w:t>
            </w:r>
          </w:p>
        </w:tc>
        <w:tc>
          <w:tcPr>
            <w:tcW w:w="1701" w:type="dxa"/>
            <w:tcBorders>
              <w:top w:val="single" w:sz="4" w:space="0" w:color="auto"/>
              <w:left w:val="single" w:sz="4" w:space="0" w:color="auto"/>
              <w:bottom w:val="single" w:sz="4" w:space="0" w:color="auto"/>
              <w:right w:val="single" w:sz="4" w:space="0" w:color="auto"/>
            </w:tcBorders>
            <w:vAlign w:val="center"/>
          </w:tcPr>
          <w:p w14:paraId="31958F3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10 000,00</w:t>
            </w:r>
          </w:p>
        </w:tc>
        <w:tc>
          <w:tcPr>
            <w:tcW w:w="1843" w:type="dxa"/>
            <w:tcBorders>
              <w:top w:val="single" w:sz="4" w:space="0" w:color="auto"/>
              <w:left w:val="single" w:sz="4" w:space="0" w:color="auto"/>
              <w:bottom w:val="single" w:sz="4" w:space="0" w:color="auto"/>
              <w:right w:val="single" w:sz="4" w:space="0" w:color="auto"/>
            </w:tcBorders>
            <w:vAlign w:val="center"/>
          </w:tcPr>
          <w:p w14:paraId="51A446D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10 000,00</w:t>
            </w:r>
          </w:p>
        </w:tc>
        <w:tc>
          <w:tcPr>
            <w:tcW w:w="1842" w:type="dxa"/>
            <w:tcBorders>
              <w:top w:val="single" w:sz="4" w:space="0" w:color="auto"/>
              <w:left w:val="single" w:sz="4" w:space="0" w:color="auto"/>
              <w:bottom w:val="single" w:sz="4" w:space="0" w:color="auto"/>
              <w:right w:val="single" w:sz="4" w:space="0" w:color="auto"/>
            </w:tcBorders>
            <w:vAlign w:val="center"/>
          </w:tcPr>
          <w:p w14:paraId="263E645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10 000,00</w:t>
            </w:r>
          </w:p>
        </w:tc>
      </w:tr>
      <w:tr w:rsidR="00D6249E" w:rsidRPr="00D6249E" w14:paraId="094A3073" w14:textId="77777777" w:rsidTr="009464FC">
        <w:trPr>
          <w:trHeight w:val="340"/>
        </w:trPr>
        <w:tc>
          <w:tcPr>
            <w:tcW w:w="1985" w:type="dxa"/>
            <w:tcBorders>
              <w:top w:val="single" w:sz="4" w:space="0" w:color="auto"/>
              <w:left w:val="single" w:sz="4" w:space="0" w:color="auto"/>
              <w:bottom w:val="single" w:sz="4" w:space="0" w:color="auto"/>
              <w:right w:val="single" w:sz="4" w:space="0" w:color="auto"/>
            </w:tcBorders>
            <w:vAlign w:val="center"/>
          </w:tcPr>
          <w:p w14:paraId="2BB2741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Roczna rata kapitałowa</w:t>
            </w:r>
          </w:p>
        </w:tc>
        <w:tc>
          <w:tcPr>
            <w:tcW w:w="1701" w:type="dxa"/>
            <w:tcBorders>
              <w:top w:val="single" w:sz="4" w:space="0" w:color="auto"/>
              <w:left w:val="single" w:sz="4" w:space="0" w:color="auto"/>
              <w:bottom w:val="single" w:sz="4" w:space="0" w:color="auto"/>
              <w:right w:val="single" w:sz="4" w:space="0" w:color="auto"/>
            </w:tcBorders>
            <w:vAlign w:val="center"/>
          </w:tcPr>
          <w:p w14:paraId="781D80B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1 380 000,00</w:t>
            </w:r>
          </w:p>
        </w:tc>
        <w:tc>
          <w:tcPr>
            <w:tcW w:w="1701" w:type="dxa"/>
            <w:tcBorders>
              <w:top w:val="single" w:sz="4" w:space="0" w:color="auto"/>
              <w:left w:val="single" w:sz="4" w:space="0" w:color="auto"/>
              <w:bottom w:val="single" w:sz="4" w:space="0" w:color="auto"/>
              <w:right w:val="single" w:sz="4" w:space="0" w:color="auto"/>
            </w:tcBorders>
            <w:vAlign w:val="center"/>
          </w:tcPr>
          <w:p w14:paraId="1EDF897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1 360 000,00</w:t>
            </w:r>
          </w:p>
        </w:tc>
        <w:tc>
          <w:tcPr>
            <w:tcW w:w="1843" w:type="dxa"/>
            <w:tcBorders>
              <w:top w:val="single" w:sz="4" w:space="0" w:color="auto"/>
              <w:left w:val="single" w:sz="4" w:space="0" w:color="auto"/>
              <w:bottom w:val="single" w:sz="4" w:space="0" w:color="auto"/>
              <w:right w:val="single" w:sz="4" w:space="0" w:color="auto"/>
            </w:tcBorders>
            <w:vAlign w:val="center"/>
          </w:tcPr>
          <w:p w14:paraId="00A9F28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2 060 000,00</w:t>
            </w:r>
          </w:p>
        </w:tc>
        <w:tc>
          <w:tcPr>
            <w:tcW w:w="1842" w:type="dxa"/>
            <w:tcBorders>
              <w:top w:val="single" w:sz="4" w:space="0" w:color="auto"/>
              <w:left w:val="single" w:sz="4" w:space="0" w:color="auto"/>
              <w:bottom w:val="single" w:sz="4" w:space="0" w:color="auto"/>
              <w:right w:val="single" w:sz="4" w:space="0" w:color="auto"/>
            </w:tcBorders>
            <w:vAlign w:val="center"/>
          </w:tcPr>
          <w:p w14:paraId="12CACDE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2 869 762,99</w:t>
            </w:r>
          </w:p>
        </w:tc>
      </w:tr>
      <w:tr w:rsidR="00D6249E" w:rsidRPr="00D6249E" w14:paraId="2D9CC4EC" w14:textId="77777777" w:rsidTr="009464FC">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CD5B5"/>
            <w:vAlign w:val="center"/>
          </w:tcPr>
          <w:p w14:paraId="7E3171B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Wyszczególnienie</w:t>
            </w:r>
          </w:p>
        </w:tc>
        <w:tc>
          <w:tcPr>
            <w:tcW w:w="1701" w:type="dxa"/>
            <w:tcBorders>
              <w:top w:val="single" w:sz="4" w:space="0" w:color="auto"/>
              <w:left w:val="single" w:sz="4" w:space="0" w:color="auto"/>
              <w:bottom w:val="single" w:sz="4" w:space="0" w:color="auto"/>
              <w:right w:val="single" w:sz="4" w:space="0" w:color="auto"/>
            </w:tcBorders>
            <w:shd w:val="clear" w:color="auto" w:fill="FCD5B5"/>
            <w:vAlign w:val="center"/>
          </w:tcPr>
          <w:p w14:paraId="49E4A26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2025</w:t>
            </w:r>
          </w:p>
        </w:tc>
        <w:tc>
          <w:tcPr>
            <w:tcW w:w="1701" w:type="dxa"/>
            <w:tcBorders>
              <w:top w:val="single" w:sz="4" w:space="0" w:color="auto"/>
              <w:left w:val="single" w:sz="4" w:space="0" w:color="auto"/>
              <w:bottom w:val="single" w:sz="4" w:space="0" w:color="auto"/>
              <w:right w:val="single" w:sz="4" w:space="0" w:color="auto"/>
            </w:tcBorders>
            <w:shd w:val="clear" w:color="auto" w:fill="FCD5B5"/>
            <w:vAlign w:val="center"/>
          </w:tcPr>
          <w:p w14:paraId="63374A1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2026</w:t>
            </w:r>
          </w:p>
        </w:tc>
        <w:tc>
          <w:tcPr>
            <w:tcW w:w="1843" w:type="dxa"/>
            <w:tcBorders>
              <w:top w:val="single" w:sz="4" w:space="0" w:color="auto"/>
              <w:left w:val="single" w:sz="4" w:space="0" w:color="auto"/>
              <w:bottom w:val="single" w:sz="4" w:space="0" w:color="auto"/>
              <w:right w:val="single" w:sz="4" w:space="0" w:color="auto"/>
            </w:tcBorders>
            <w:shd w:val="clear" w:color="auto" w:fill="FCD5B5"/>
            <w:vAlign w:val="center"/>
          </w:tcPr>
          <w:p w14:paraId="5B2169A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2027</w:t>
            </w:r>
          </w:p>
        </w:tc>
        <w:tc>
          <w:tcPr>
            <w:tcW w:w="1842" w:type="dxa"/>
            <w:tcBorders>
              <w:top w:val="single" w:sz="4" w:space="0" w:color="auto"/>
              <w:left w:val="single" w:sz="4" w:space="0" w:color="auto"/>
              <w:bottom w:val="single" w:sz="4" w:space="0" w:color="auto"/>
              <w:right w:val="single" w:sz="4" w:space="0" w:color="auto"/>
            </w:tcBorders>
            <w:shd w:val="clear" w:color="auto" w:fill="FCD5B5"/>
            <w:vAlign w:val="center"/>
          </w:tcPr>
          <w:p w14:paraId="2BDF390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2028</w:t>
            </w:r>
          </w:p>
        </w:tc>
      </w:tr>
      <w:tr w:rsidR="00D6249E" w:rsidRPr="00D6249E" w14:paraId="0155E40F" w14:textId="77777777" w:rsidTr="009464FC">
        <w:trPr>
          <w:trHeight w:val="340"/>
        </w:trPr>
        <w:tc>
          <w:tcPr>
            <w:tcW w:w="1985" w:type="dxa"/>
            <w:tcBorders>
              <w:top w:val="single" w:sz="4" w:space="0" w:color="auto"/>
              <w:left w:val="single" w:sz="4" w:space="0" w:color="auto"/>
              <w:bottom w:val="single" w:sz="4" w:space="0" w:color="auto"/>
              <w:right w:val="single" w:sz="4" w:space="0" w:color="auto"/>
            </w:tcBorders>
            <w:vAlign w:val="center"/>
          </w:tcPr>
          <w:p w14:paraId="723B6EB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Zobowiązania historyczne*</w:t>
            </w:r>
          </w:p>
        </w:tc>
        <w:tc>
          <w:tcPr>
            <w:tcW w:w="1701" w:type="dxa"/>
            <w:tcBorders>
              <w:top w:val="single" w:sz="4" w:space="0" w:color="auto"/>
              <w:left w:val="single" w:sz="4" w:space="0" w:color="auto"/>
              <w:bottom w:val="single" w:sz="4" w:space="0" w:color="auto"/>
              <w:right w:val="single" w:sz="4" w:space="0" w:color="auto"/>
            </w:tcBorders>
            <w:vAlign w:val="center"/>
          </w:tcPr>
          <w:p w14:paraId="6D1372A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2 800 000,00</w:t>
            </w:r>
          </w:p>
        </w:tc>
        <w:tc>
          <w:tcPr>
            <w:tcW w:w="1701" w:type="dxa"/>
            <w:tcBorders>
              <w:top w:val="single" w:sz="4" w:space="0" w:color="auto"/>
              <w:left w:val="single" w:sz="4" w:space="0" w:color="auto"/>
              <w:bottom w:val="single" w:sz="4" w:space="0" w:color="auto"/>
              <w:right w:val="single" w:sz="4" w:space="0" w:color="auto"/>
            </w:tcBorders>
            <w:vAlign w:val="center"/>
          </w:tcPr>
          <w:p w14:paraId="1E21E9B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2 234 000,00</w:t>
            </w:r>
          </w:p>
        </w:tc>
        <w:tc>
          <w:tcPr>
            <w:tcW w:w="1843" w:type="dxa"/>
            <w:tcBorders>
              <w:top w:val="single" w:sz="4" w:space="0" w:color="auto"/>
              <w:left w:val="single" w:sz="4" w:space="0" w:color="auto"/>
              <w:bottom w:val="single" w:sz="4" w:space="0" w:color="auto"/>
              <w:right w:val="single" w:sz="4" w:space="0" w:color="auto"/>
            </w:tcBorders>
            <w:vAlign w:val="center"/>
          </w:tcPr>
          <w:p w14:paraId="160F561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1 421 783,00</w:t>
            </w:r>
          </w:p>
        </w:tc>
        <w:tc>
          <w:tcPr>
            <w:tcW w:w="1842" w:type="dxa"/>
            <w:tcBorders>
              <w:top w:val="single" w:sz="4" w:space="0" w:color="auto"/>
              <w:left w:val="single" w:sz="4" w:space="0" w:color="auto"/>
              <w:bottom w:val="single" w:sz="4" w:space="0" w:color="auto"/>
              <w:right w:val="single" w:sz="4" w:space="0" w:color="auto"/>
            </w:tcBorders>
            <w:vAlign w:val="center"/>
          </w:tcPr>
          <w:p w14:paraId="65657C1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0,00</w:t>
            </w:r>
          </w:p>
        </w:tc>
      </w:tr>
      <w:tr w:rsidR="00D6249E" w:rsidRPr="00D6249E" w14:paraId="5FDCC4BE" w14:textId="77777777" w:rsidTr="009464FC">
        <w:trPr>
          <w:trHeight w:val="340"/>
        </w:trPr>
        <w:tc>
          <w:tcPr>
            <w:tcW w:w="1985" w:type="dxa"/>
            <w:tcBorders>
              <w:top w:val="single" w:sz="4" w:space="0" w:color="auto"/>
              <w:left w:val="single" w:sz="4" w:space="0" w:color="auto"/>
              <w:bottom w:val="single" w:sz="4" w:space="0" w:color="auto"/>
              <w:right w:val="single" w:sz="4" w:space="0" w:color="auto"/>
            </w:tcBorders>
            <w:vAlign w:val="center"/>
          </w:tcPr>
          <w:p w14:paraId="571AD04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Kredyt planowany (2021)</w:t>
            </w:r>
          </w:p>
        </w:tc>
        <w:tc>
          <w:tcPr>
            <w:tcW w:w="1701" w:type="dxa"/>
            <w:tcBorders>
              <w:top w:val="single" w:sz="4" w:space="0" w:color="auto"/>
              <w:left w:val="single" w:sz="4" w:space="0" w:color="auto"/>
              <w:bottom w:val="single" w:sz="4" w:space="0" w:color="auto"/>
              <w:right w:val="single" w:sz="4" w:space="0" w:color="auto"/>
            </w:tcBorders>
            <w:vAlign w:val="center"/>
          </w:tcPr>
          <w:p w14:paraId="3AB5939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100 000,00</w:t>
            </w:r>
          </w:p>
        </w:tc>
        <w:tc>
          <w:tcPr>
            <w:tcW w:w="1701" w:type="dxa"/>
            <w:tcBorders>
              <w:top w:val="single" w:sz="4" w:space="0" w:color="auto"/>
              <w:left w:val="single" w:sz="4" w:space="0" w:color="auto"/>
              <w:bottom w:val="single" w:sz="4" w:space="0" w:color="auto"/>
              <w:right w:val="single" w:sz="4" w:space="0" w:color="auto"/>
            </w:tcBorders>
            <w:vAlign w:val="center"/>
          </w:tcPr>
          <w:p w14:paraId="62EC75C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130 000,00</w:t>
            </w:r>
          </w:p>
        </w:tc>
        <w:tc>
          <w:tcPr>
            <w:tcW w:w="1843" w:type="dxa"/>
            <w:tcBorders>
              <w:top w:val="single" w:sz="4" w:space="0" w:color="auto"/>
              <w:left w:val="single" w:sz="4" w:space="0" w:color="auto"/>
              <w:bottom w:val="single" w:sz="4" w:space="0" w:color="auto"/>
              <w:right w:val="single" w:sz="4" w:space="0" w:color="auto"/>
            </w:tcBorders>
            <w:vAlign w:val="center"/>
          </w:tcPr>
          <w:p w14:paraId="246E3BC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176 460,43</w:t>
            </w:r>
          </w:p>
        </w:tc>
        <w:tc>
          <w:tcPr>
            <w:tcW w:w="1842" w:type="dxa"/>
            <w:tcBorders>
              <w:top w:val="single" w:sz="4" w:space="0" w:color="auto"/>
              <w:left w:val="single" w:sz="4" w:space="0" w:color="auto"/>
              <w:bottom w:val="single" w:sz="4" w:space="0" w:color="auto"/>
              <w:right w:val="single" w:sz="4" w:space="0" w:color="auto"/>
            </w:tcBorders>
            <w:vAlign w:val="center"/>
          </w:tcPr>
          <w:p w14:paraId="33F8839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1 300 000,00</w:t>
            </w:r>
          </w:p>
        </w:tc>
      </w:tr>
      <w:tr w:rsidR="00D6249E" w:rsidRPr="00D6249E" w14:paraId="6C058413" w14:textId="77777777" w:rsidTr="009464FC">
        <w:trPr>
          <w:trHeight w:val="340"/>
        </w:trPr>
        <w:tc>
          <w:tcPr>
            <w:tcW w:w="1985" w:type="dxa"/>
            <w:tcBorders>
              <w:top w:val="single" w:sz="4" w:space="0" w:color="auto"/>
              <w:left w:val="single" w:sz="4" w:space="0" w:color="auto"/>
              <w:bottom w:val="single" w:sz="4" w:space="0" w:color="auto"/>
              <w:right w:val="single" w:sz="4" w:space="0" w:color="auto"/>
            </w:tcBorders>
            <w:vAlign w:val="center"/>
          </w:tcPr>
          <w:p w14:paraId="3374902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Roczna rata kapitałowa</w:t>
            </w:r>
          </w:p>
        </w:tc>
        <w:tc>
          <w:tcPr>
            <w:tcW w:w="1701" w:type="dxa"/>
            <w:tcBorders>
              <w:top w:val="single" w:sz="4" w:space="0" w:color="auto"/>
              <w:left w:val="single" w:sz="4" w:space="0" w:color="auto"/>
              <w:bottom w:val="single" w:sz="4" w:space="0" w:color="auto"/>
              <w:right w:val="single" w:sz="4" w:space="0" w:color="auto"/>
            </w:tcBorders>
            <w:vAlign w:val="center"/>
          </w:tcPr>
          <w:p w14:paraId="19CB0DE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2 900 000,00</w:t>
            </w:r>
          </w:p>
        </w:tc>
        <w:tc>
          <w:tcPr>
            <w:tcW w:w="1701" w:type="dxa"/>
            <w:tcBorders>
              <w:top w:val="single" w:sz="4" w:space="0" w:color="auto"/>
              <w:left w:val="single" w:sz="4" w:space="0" w:color="auto"/>
              <w:bottom w:val="single" w:sz="4" w:space="0" w:color="auto"/>
              <w:right w:val="single" w:sz="4" w:space="0" w:color="auto"/>
            </w:tcBorders>
            <w:vAlign w:val="center"/>
          </w:tcPr>
          <w:p w14:paraId="1DE1E3D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2 364 000,00</w:t>
            </w:r>
          </w:p>
        </w:tc>
        <w:tc>
          <w:tcPr>
            <w:tcW w:w="1843" w:type="dxa"/>
            <w:tcBorders>
              <w:top w:val="single" w:sz="4" w:space="0" w:color="auto"/>
              <w:left w:val="single" w:sz="4" w:space="0" w:color="auto"/>
              <w:bottom w:val="single" w:sz="4" w:space="0" w:color="auto"/>
              <w:right w:val="single" w:sz="4" w:space="0" w:color="auto"/>
            </w:tcBorders>
            <w:vAlign w:val="center"/>
          </w:tcPr>
          <w:p w14:paraId="7DEE5F0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1 598 243,43</w:t>
            </w:r>
          </w:p>
        </w:tc>
        <w:tc>
          <w:tcPr>
            <w:tcW w:w="1842" w:type="dxa"/>
            <w:tcBorders>
              <w:top w:val="single" w:sz="4" w:space="0" w:color="auto"/>
              <w:left w:val="single" w:sz="4" w:space="0" w:color="auto"/>
              <w:bottom w:val="single" w:sz="4" w:space="0" w:color="auto"/>
              <w:right w:val="single" w:sz="4" w:space="0" w:color="auto"/>
            </w:tcBorders>
            <w:vAlign w:val="center"/>
          </w:tcPr>
          <w:p w14:paraId="3CC1A5E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1 300 000,00</w:t>
            </w:r>
          </w:p>
        </w:tc>
      </w:tr>
      <w:tr w:rsidR="00D6249E" w:rsidRPr="00D6249E" w14:paraId="65FB1CAF" w14:textId="77777777" w:rsidTr="009464FC">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CD5B5"/>
            <w:vAlign w:val="center"/>
          </w:tcPr>
          <w:p w14:paraId="2AA8B6D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Wyszczególnienie</w:t>
            </w:r>
          </w:p>
        </w:tc>
        <w:tc>
          <w:tcPr>
            <w:tcW w:w="1701" w:type="dxa"/>
            <w:tcBorders>
              <w:top w:val="single" w:sz="4" w:space="0" w:color="auto"/>
              <w:left w:val="single" w:sz="4" w:space="0" w:color="auto"/>
              <w:bottom w:val="single" w:sz="4" w:space="0" w:color="auto"/>
              <w:right w:val="single" w:sz="4" w:space="0" w:color="auto"/>
            </w:tcBorders>
            <w:shd w:val="clear" w:color="auto" w:fill="FCD5B5"/>
            <w:vAlign w:val="center"/>
          </w:tcPr>
          <w:p w14:paraId="257B9D0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2029</w:t>
            </w:r>
          </w:p>
        </w:tc>
        <w:tc>
          <w:tcPr>
            <w:tcW w:w="5386" w:type="dxa"/>
            <w:gridSpan w:val="3"/>
            <w:vMerge w:val="restart"/>
            <w:tcBorders>
              <w:top w:val="single" w:sz="4" w:space="0" w:color="auto"/>
              <w:left w:val="single" w:sz="4" w:space="0" w:color="auto"/>
              <w:bottom w:val="nil"/>
            </w:tcBorders>
            <w:vAlign w:val="center"/>
          </w:tcPr>
          <w:p w14:paraId="12446C4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p>
        </w:tc>
      </w:tr>
      <w:tr w:rsidR="00D6249E" w:rsidRPr="00D6249E" w14:paraId="329117A4" w14:textId="77777777" w:rsidTr="009464FC">
        <w:trPr>
          <w:trHeight w:val="340"/>
        </w:trPr>
        <w:tc>
          <w:tcPr>
            <w:tcW w:w="1985" w:type="dxa"/>
            <w:tcBorders>
              <w:top w:val="single" w:sz="4" w:space="0" w:color="auto"/>
              <w:left w:val="single" w:sz="4" w:space="0" w:color="auto"/>
              <w:bottom w:val="single" w:sz="4" w:space="0" w:color="auto"/>
              <w:right w:val="single" w:sz="4" w:space="0" w:color="auto"/>
            </w:tcBorders>
            <w:vAlign w:val="center"/>
          </w:tcPr>
          <w:p w14:paraId="6D88628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Zobowiązania historyczne*</w:t>
            </w:r>
          </w:p>
        </w:tc>
        <w:tc>
          <w:tcPr>
            <w:tcW w:w="1701" w:type="dxa"/>
            <w:tcBorders>
              <w:top w:val="single" w:sz="4" w:space="0" w:color="auto"/>
              <w:left w:val="single" w:sz="4" w:space="0" w:color="auto"/>
              <w:bottom w:val="single" w:sz="4" w:space="0" w:color="auto"/>
              <w:right w:val="single" w:sz="4" w:space="0" w:color="auto"/>
            </w:tcBorders>
            <w:vAlign w:val="center"/>
          </w:tcPr>
          <w:p w14:paraId="2439BA8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0,00</w:t>
            </w:r>
          </w:p>
        </w:tc>
        <w:tc>
          <w:tcPr>
            <w:tcW w:w="5386" w:type="dxa"/>
            <w:gridSpan w:val="3"/>
            <w:vMerge/>
            <w:tcBorders>
              <w:top w:val="nil"/>
              <w:left w:val="single" w:sz="4" w:space="0" w:color="auto"/>
              <w:bottom w:val="single" w:sz="4" w:space="0" w:color="auto"/>
            </w:tcBorders>
            <w:vAlign w:val="center"/>
          </w:tcPr>
          <w:p w14:paraId="55B597E5" w14:textId="77777777" w:rsidR="00D6249E" w:rsidRPr="00D6249E" w:rsidRDefault="00D6249E" w:rsidP="00D6249E">
            <w:pPr>
              <w:widowControl w:val="0"/>
              <w:autoSpaceDE w:val="0"/>
              <w:autoSpaceDN w:val="0"/>
              <w:adjustRightInd w:val="0"/>
              <w:rPr>
                <w:rFonts w:eastAsiaTheme="minorHAnsi"/>
                <w:sz w:val="22"/>
                <w:szCs w:val="22"/>
                <w:lang w:eastAsia="en-US"/>
              </w:rPr>
            </w:pPr>
          </w:p>
        </w:tc>
      </w:tr>
      <w:tr w:rsidR="00D6249E" w:rsidRPr="00D6249E" w14:paraId="5CCD3DF2" w14:textId="77777777" w:rsidTr="009464FC">
        <w:trPr>
          <w:trHeight w:val="340"/>
        </w:trPr>
        <w:tc>
          <w:tcPr>
            <w:tcW w:w="1985" w:type="dxa"/>
            <w:tcBorders>
              <w:top w:val="single" w:sz="4" w:space="0" w:color="auto"/>
              <w:left w:val="single" w:sz="4" w:space="0" w:color="auto"/>
              <w:bottom w:val="single" w:sz="4" w:space="0" w:color="auto"/>
              <w:right w:val="single" w:sz="4" w:space="0" w:color="auto"/>
            </w:tcBorders>
            <w:vAlign w:val="center"/>
          </w:tcPr>
          <w:p w14:paraId="0344B43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Kredyt planowany (2021)</w:t>
            </w:r>
          </w:p>
        </w:tc>
        <w:tc>
          <w:tcPr>
            <w:tcW w:w="1701" w:type="dxa"/>
            <w:tcBorders>
              <w:top w:val="single" w:sz="4" w:space="0" w:color="auto"/>
              <w:left w:val="single" w:sz="4" w:space="0" w:color="auto"/>
              <w:bottom w:val="single" w:sz="4" w:space="0" w:color="auto"/>
              <w:right w:val="single" w:sz="4" w:space="0" w:color="auto"/>
            </w:tcBorders>
            <w:vAlign w:val="center"/>
          </w:tcPr>
          <w:p w14:paraId="7DC1657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1 294 272,54</w:t>
            </w:r>
          </w:p>
        </w:tc>
        <w:tc>
          <w:tcPr>
            <w:tcW w:w="5386" w:type="dxa"/>
            <w:gridSpan w:val="3"/>
            <w:vMerge/>
            <w:tcBorders>
              <w:top w:val="nil"/>
              <w:left w:val="single" w:sz="4" w:space="0" w:color="auto"/>
              <w:bottom w:val="single" w:sz="4" w:space="0" w:color="auto"/>
            </w:tcBorders>
            <w:vAlign w:val="center"/>
          </w:tcPr>
          <w:p w14:paraId="7F5E3968" w14:textId="77777777" w:rsidR="00D6249E" w:rsidRPr="00D6249E" w:rsidRDefault="00D6249E" w:rsidP="00D6249E">
            <w:pPr>
              <w:widowControl w:val="0"/>
              <w:autoSpaceDE w:val="0"/>
              <w:autoSpaceDN w:val="0"/>
              <w:adjustRightInd w:val="0"/>
              <w:rPr>
                <w:rFonts w:eastAsiaTheme="minorHAnsi"/>
                <w:sz w:val="22"/>
                <w:szCs w:val="22"/>
                <w:lang w:eastAsia="en-US"/>
              </w:rPr>
            </w:pPr>
          </w:p>
        </w:tc>
      </w:tr>
      <w:tr w:rsidR="00D6249E" w:rsidRPr="00D6249E" w14:paraId="7C93D86D" w14:textId="77777777" w:rsidTr="009464FC">
        <w:trPr>
          <w:trHeight w:val="340"/>
        </w:trPr>
        <w:tc>
          <w:tcPr>
            <w:tcW w:w="1985" w:type="dxa"/>
            <w:tcBorders>
              <w:top w:val="single" w:sz="4" w:space="0" w:color="auto"/>
              <w:left w:val="single" w:sz="4" w:space="0" w:color="auto"/>
              <w:bottom w:val="single" w:sz="4" w:space="0" w:color="auto"/>
              <w:right w:val="single" w:sz="4" w:space="0" w:color="auto"/>
            </w:tcBorders>
            <w:vAlign w:val="center"/>
          </w:tcPr>
          <w:p w14:paraId="48CE4DC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Roczna rata kapitałowa</w:t>
            </w:r>
          </w:p>
        </w:tc>
        <w:tc>
          <w:tcPr>
            <w:tcW w:w="1701" w:type="dxa"/>
            <w:tcBorders>
              <w:top w:val="single" w:sz="4" w:space="0" w:color="auto"/>
              <w:left w:val="single" w:sz="4" w:space="0" w:color="auto"/>
              <w:bottom w:val="single" w:sz="4" w:space="0" w:color="auto"/>
              <w:right w:val="single" w:sz="4" w:space="0" w:color="auto"/>
            </w:tcBorders>
            <w:vAlign w:val="center"/>
          </w:tcPr>
          <w:p w14:paraId="2D8B5FA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1 294 272,54</w:t>
            </w:r>
          </w:p>
        </w:tc>
        <w:tc>
          <w:tcPr>
            <w:tcW w:w="5386" w:type="dxa"/>
            <w:gridSpan w:val="3"/>
            <w:vMerge/>
            <w:tcBorders>
              <w:top w:val="nil"/>
              <w:left w:val="single" w:sz="4" w:space="0" w:color="auto"/>
              <w:bottom w:val="nil"/>
            </w:tcBorders>
            <w:vAlign w:val="center"/>
          </w:tcPr>
          <w:p w14:paraId="56E07921" w14:textId="77777777" w:rsidR="00D6249E" w:rsidRPr="00D6249E" w:rsidRDefault="00D6249E" w:rsidP="00D6249E">
            <w:pPr>
              <w:widowControl w:val="0"/>
              <w:autoSpaceDE w:val="0"/>
              <w:autoSpaceDN w:val="0"/>
              <w:adjustRightInd w:val="0"/>
              <w:rPr>
                <w:rFonts w:eastAsiaTheme="minorHAnsi"/>
                <w:sz w:val="22"/>
                <w:szCs w:val="22"/>
                <w:lang w:eastAsia="en-US"/>
              </w:rPr>
            </w:pPr>
          </w:p>
        </w:tc>
      </w:tr>
    </w:tbl>
    <w:p w14:paraId="4EE2CDF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rFonts w:eastAsiaTheme="minorHAnsi"/>
          <w:i/>
          <w:iCs/>
          <w:sz w:val="22"/>
          <w:szCs w:val="22"/>
          <w:lang w:eastAsia="en-US"/>
        </w:rPr>
      </w:pPr>
      <w:r w:rsidRPr="00D6249E">
        <w:rPr>
          <w:rFonts w:eastAsiaTheme="minorHAnsi"/>
          <w:i/>
          <w:iCs/>
          <w:sz w:val="22"/>
          <w:szCs w:val="22"/>
          <w:lang w:eastAsia="en-US"/>
        </w:rPr>
        <w:t>*-Zobowiązania historyczne (podpisane umowy), wg planowanego stanu na dzień 31.12.2020r., z uwzględnieniem zaciągnięcia planowanego kredytu do końca 2020 roku (trwa procedura przetargowa).</w:t>
      </w:r>
    </w:p>
    <w:p w14:paraId="6E03C2F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r w:rsidRPr="00D6249E">
        <w:rPr>
          <w:rFonts w:eastAsiaTheme="minorHAnsi"/>
          <w:sz w:val="22"/>
          <w:szCs w:val="22"/>
          <w:lang w:eastAsia="en-US"/>
        </w:rPr>
        <w:t>Źródło: Opracowanie własne.</w:t>
      </w:r>
    </w:p>
    <w:p w14:paraId="215B2F7C" w14:textId="7E82AFCF"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Ponadto należy wskazać, iż celu zachowania realistyczności projektu Wieloletniej Prognozy Finansowej Gminy Duszniki na lata 2021-2029, w pozycji [10.6] w WPF w latach 2021-2027 wykazano spłaty zobowiązań, które zostały już zaciągnięte oraz takie, które planuje się zaciągnąć do końca roku budżetowego 2020, w związku z rozpoczętą procedurą przetar</w:t>
      </w:r>
      <w:r w:rsidR="009464FC">
        <w:rPr>
          <w:rFonts w:eastAsiaTheme="minorHAnsi"/>
          <w:lang w:eastAsia="en-US"/>
        </w:rPr>
        <w:t>gową</w:t>
      </w:r>
      <w:r w:rsidRPr="00D6249E">
        <w:rPr>
          <w:rFonts w:eastAsiaTheme="minorHAnsi"/>
          <w:lang w:eastAsia="en-US"/>
        </w:rPr>
        <w:t xml:space="preserve"> na zaciągnięcie kredytu. W przypadku, gdyby plan przychodów z tytułu kredytów na rok 2020 nie został w pełni zrealizowany, wówczas odpowiednie wiersze w WPF zostaną stosownie zaktualizowane. </w:t>
      </w:r>
    </w:p>
    <w:p w14:paraId="423972E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p>
    <w:p w14:paraId="30F9CD0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b/>
          <w:bCs/>
          <w:lang w:eastAsia="en-US"/>
        </w:rPr>
        <w:t>7. Relacja z art. 243 ustawy o finansach publicznych</w:t>
      </w:r>
    </w:p>
    <w:p w14:paraId="7A3A64F8" w14:textId="6F281368"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Zgodnie z art. 243 ust. 1 ustawy z dnia 27 sierpnia 2009 r. o finansach publicznych (Dz. U. z 2019 r. poz. 869 z </w:t>
      </w:r>
      <w:proofErr w:type="spellStart"/>
      <w:r w:rsidRPr="00D6249E">
        <w:rPr>
          <w:rFonts w:eastAsiaTheme="minorHAnsi"/>
          <w:lang w:eastAsia="en-US"/>
        </w:rPr>
        <w:t>późn</w:t>
      </w:r>
      <w:proofErr w:type="spellEnd"/>
      <w:r w:rsidRPr="00D6249E">
        <w:rPr>
          <w:rFonts w:eastAsiaTheme="minorHAnsi"/>
          <w:lang w:eastAsia="en-US"/>
        </w:rPr>
        <w:t>. zm.) od 1 stycznia 2014 r. obowiązuje indywidualny wskaźnik zadłużenia dla samorządów. Według przepisów roczna wartość spłat zobowiązań i ich obsługi do planowanych dochodów bieżących pomniejszonych o dotacje i środki przeznaczone na cele bieżące nie może przekroczyć wskaźnika maksymalnej obsługi zadłużenia uwzględniającego wyłączenia wskazane w art. 243 ust. 3, 3a oraz 3b powyższej ustawy.</w:t>
      </w:r>
    </w:p>
    <w:p w14:paraId="2D40747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Od 1 stycznia 2020 r. wskaźnik faktycznej obsługi zadłużenia został uzupełniony o umowy, które wywołują skutki ekonomiczne podobne do kredytu, pożyczki, depozytu czy emisji papierów wartościowych (zaciągnięte po 1 stycznia 2019 roku). Włączenie do wskaźnika obsługi zadłużenia ww. umów dotyczy zarówno spłaty rat, jak również wydatków bieżących na ich obsługę (odsetki, prowizje, opłaty).</w:t>
      </w:r>
    </w:p>
    <w:p w14:paraId="1CC16C3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lastRenderedPageBreak/>
        <w:t>Natomiast na podstawie art. 15zob ust. 2 ustawy z dnia 2 marca 2020 r. o szczególnych rozwiązaniach związanych z zapobieganiem, przeciwdziałaniem i zwalczaniem COVID-19, innych chorób zakaźnych oraz wywołanych nimi sytuacji kryzysowych, ustalając relację ograniczającą wysokość spłaty długu JST:</w:t>
      </w:r>
    </w:p>
    <w:p w14:paraId="4361A2DE" w14:textId="77777777" w:rsidR="00D6249E" w:rsidRPr="00D6249E" w:rsidRDefault="00D6249E" w:rsidP="00D6249E">
      <w:pPr>
        <w:widowControl w:val="0"/>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lang w:eastAsia="en-US"/>
        </w:rPr>
        <w:t>na lata 2020-2025 wydatki bieżące budżetu tej jednostki podlegają pomniejszeniu o wydatki bieżące na obsługę długu;</w:t>
      </w:r>
    </w:p>
    <w:p w14:paraId="13B20886" w14:textId="77777777" w:rsidR="00D6249E" w:rsidRPr="00D6249E" w:rsidRDefault="00D6249E" w:rsidP="00D6249E">
      <w:pPr>
        <w:widowControl w:val="0"/>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na rok 2021 i lata kolejne wydatki bieżące budżetu tej jednostki podlegają pomniejszeniu o wydatki bieżące poniesione w 2020 r. w celu realizacji zadań związanych z przeciwdziałaniem COVID-19.</w:t>
      </w:r>
    </w:p>
    <w:p w14:paraId="2FFDC96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Kształt indywidualnego wskaźnika obsługi zadłużenia został obliczony zgodnie z wytycznymi dla okresów dostosowawczych, tj.:</w:t>
      </w:r>
    </w:p>
    <w:p w14:paraId="3624749F" w14:textId="77777777" w:rsidR="00D6249E" w:rsidRPr="00D6249E" w:rsidRDefault="00D6249E" w:rsidP="00D6249E">
      <w:pPr>
        <w:widowControl w:val="0"/>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eastAsiaTheme="minorHAnsi"/>
          <w:lang w:eastAsia="en-US"/>
        </w:rPr>
      </w:pPr>
      <w:r w:rsidRPr="00D6249E">
        <w:rPr>
          <w:rFonts w:eastAsiaTheme="minorHAnsi"/>
          <w:lang w:eastAsia="en-US"/>
        </w:rPr>
        <w:t>na lata 2020-2025 w oparciu o art. 9 ust. 1 ustawy z dnia 14 grudnia 2018 r. o zmianie ustawy o finansach publicznych oraz niektórych innych ustaw;</w:t>
      </w:r>
    </w:p>
    <w:p w14:paraId="2F9AC96F" w14:textId="77777777" w:rsidR="00D6249E" w:rsidRPr="00D6249E" w:rsidRDefault="00D6249E" w:rsidP="00D6249E">
      <w:pPr>
        <w:widowControl w:val="0"/>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od roku 2026 w oparciu o art. 9 ust. 2 ustawy z dnia 14 grudnia 2018 r. o zmianie ustawy o finansach publicznych oraz niektórych innych ustaw.</w:t>
      </w:r>
    </w:p>
    <w:p w14:paraId="602E80B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sz w:val="22"/>
          <w:szCs w:val="22"/>
          <w:lang w:eastAsia="en-US"/>
        </w:rPr>
      </w:pPr>
      <w:r w:rsidRPr="00D6249E">
        <w:rPr>
          <w:rFonts w:eastAsiaTheme="minorHAnsi"/>
          <w:b/>
          <w:bCs/>
          <w:sz w:val="22"/>
          <w:szCs w:val="22"/>
          <w:lang w:eastAsia="en-US"/>
        </w:rPr>
        <w:t xml:space="preserve">Tabela 7. Kształtowanie się relacji z art. 243 </w:t>
      </w:r>
      <w:proofErr w:type="spellStart"/>
      <w:r w:rsidRPr="00D6249E">
        <w:rPr>
          <w:rFonts w:eastAsiaTheme="minorHAnsi"/>
          <w:b/>
          <w:bCs/>
          <w:sz w:val="22"/>
          <w:szCs w:val="22"/>
          <w:lang w:eastAsia="en-US"/>
        </w:rPr>
        <w:t>uofp</w:t>
      </w:r>
      <w:proofErr w:type="spellEnd"/>
    </w:p>
    <w:tbl>
      <w:tblPr>
        <w:tblW w:w="0" w:type="auto"/>
        <w:tblInd w:w="-5" w:type="dxa"/>
        <w:tblLayout w:type="fixed"/>
        <w:tblCellMar>
          <w:left w:w="10" w:type="dxa"/>
          <w:right w:w="10" w:type="dxa"/>
        </w:tblCellMar>
        <w:tblLook w:val="0000" w:firstRow="0" w:lastRow="0" w:firstColumn="0" w:lastColumn="0" w:noHBand="0" w:noVBand="0"/>
      </w:tblPr>
      <w:tblGrid>
        <w:gridCol w:w="5341"/>
        <w:gridCol w:w="709"/>
        <w:gridCol w:w="708"/>
        <w:gridCol w:w="851"/>
        <w:gridCol w:w="850"/>
        <w:gridCol w:w="854"/>
      </w:tblGrid>
      <w:tr w:rsidR="00D6249E" w:rsidRPr="00D6249E" w14:paraId="2ADF85AF" w14:textId="77777777">
        <w:tc>
          <w:tcPr>
            <w:tcW w:w="5341" w:type="dxa"/>
            <w:tcBorders>
              <w:top w:val="single" w:sz="4" w:space="0" w:color="auto"/>
              <w:left w:val="single" w:sz="4" w:space="0" w:color="auto"/>
              <w:bottom w:val="single" w:sz="4" w:space="0" w:color="auto"/>
              <w:right w:val="single" w:sz="4" w:space="0" w:color="auto"/>
            </w:tcBorders>
          </w:tcPr>
          <w:p w14:paraId="730CBAB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14:paraId="4A637D8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2021</w:t>
            </w:r>
          </w:p>
        </w:tc>
        <w:tc>
          <w:tcPr>
            <w:tcW w:w="708" w:type="dxa"/>
            <w:tcBorders>
              <w:top w:val="single" w:sz="4" w:space="0" w:color="auto"/>
              <w:left w:val="single" w:sz="4" w:space="0" w:color="auto"/>
              <w:bottom w:val="single" w:sz="4" w:space="0" w:color="auto"/>
              <w:right w:val="single" w:sz="4" w:space="0" w:color="auto"/>
            </w:tcBorders>
            <w:vAlign w:val="bottom"/>
          </w:tcPr>
          <w:p w14:paraId="65D2B04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2022</w:t>
            </w:r>
          </w:p>
        </w:tc>
        <w:tc>
          <w:tcPr>
            <w:tcW w:w="851" w:type="dxa"/>
            <w:tcBorders>
              <w:top w:val="single" w:sz="4" w:space="0" w:color="auto"/>
              <w:left w:val="single" w:sz="4" w:space="0" w:color="auto"/>
              <w:bottom w:val="single" w:sz="4" w:space="0" w:color="auto"/>
              <w:right w:val="single" w:sz="4" w:space="0" w:color="auto"/>
            </w:tcBorders>
            <w:vAlign w:val="bottom"/>
          </w:tcPr>
          <w:p w14:paraId="5EC17BA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2023</w:t>
            </w:r>
          </w:p>
        </w:tc>
        <w:tc>
          <w:tcPr>
            <w:tcW w:w="850" w:type="dxa"/>
            <w:tcBorders>
              <w:top w:val="single" w:sz="4" w:space="0" w:color="auto"/>
              <w:left w:val="single" w:sz="4" w:space="0" w:color="auto"/>
              <w:bottom w:val="single" w:sz="4" w:space="0" w:color="auto"/>
              <w:right w:val="single" w:sz="4" w:space="0" w:color="auto"/>
            </w:tcBorders>
            <w:vAlign w:val="bottom"/>
          </w:tcPr>
          <w:p w14:paraId="3FB1395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2024</w:t>
            </w:r>
          </w:p>
        </w:tc>
        <w:tc>
          <w:tcPr>
            <w:tcW w:w="854" w:type="dxa"/>
            <w:tcBorders>
              <w:top w:val="single" w:sz="4" w:space="0" w:color="auto"/>
              <w:left w:val="single" w:sz="4" w:space="0" w:color="auto"/>
              <w:bottom w:val="single" w:sz="4" w:space="0" w:color="auto"/>
              <w:right w:val="single" w:sz="4" w:space="0" w:color="auto"/>
            </w:tcBorders>
            <w:vAlign w:val="bottom"/>
          </w:tcPr>
          <w:p w14:paraId="0CF194A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2025</w:t>
            </w:r>
          </w:p>
        </w:tc>
      </w:tr>
      <w:tr w:rsidR="00D6249E" w:rsidRPr="00D6249E" w14:paraId="5DBC0C6E" w14:textId="77777777">
        <w:tc>
          <w:tcPr>
            <w:tcW w:w="5341" w:type="dxa"/>
            <w:tcBorders>
              <w:top w:val="single" w:sz="4" w:space="0" w:color="auto"/>
              <w:left w:val="single" w:sz="4" w:space="0" w:color="auto"/>
              <w:bottom w:val="single" w:sz="4" w:space="0" w:color="auto"/>
              <w:right w:val="single" w:sz="4" w:space="0" w:color="auto"/>
            </w:tcBorders>
          </w:tcPr>
          <w:p w14:paraId="5C184FF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 xml:space="preserve">Obsługa zadłużenia (fakt. i plan. po </w:t>
            </w:r>
            <w:proofErr w:type="spellStart"/>
            <w:r w:rsidRPr="00D6249E">
              <w:rPr>
                <w:rFonts w:eastAsiaTheme="minorHAnsi"/>
                <w:b/>
                <w:bCs/>
                <w:sz w:val="22"/>
                <w:szCs w:val="22"/>
                <w:lang w:eastAsia="en-US"/>
              </w:rPr>
              <w:t>wyłączeniach</w:t>
            </w:r>
            <w:proofErr w:type="spellEnd"/>
            <w:r w:rsidRPr="00D6249E">
              <w:rPr>
                <w:rFonts w:eastAsiaTheme="minorHAnsi"/>
                <w:b/>
                <w:bCs/>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2BC04B7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6,11%</w:t>
            </w:r>
          </w:p>
        </w:tc>
        <w:tc>
          <w:tcPr>
            <w:tcW w:w="708" w:type="dxa"/>
            <w:tcBorders>
              <w:top w:val="single" w:sz="4" w:space="0" w:color="auto"/>
              <w:left w:val="single" w:sz="4" w:space="0" w:color="auto"/>
              <w:bottom w:val="single" w:sz="4" w:space="0" w:color="auto"/>
              <w:right w:val="single" w:sz="4" w:space="0" w:color="auto"/>
            </w:tcBorders>
          </w:tcPr>
          <w:p w14:paraId="0B1CB9F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5,57%</w:t>
            </w:r>
          </w:p>
        </w:tc>
        <w:tc>
          <w:tcPr>
            <w:tcW w:w="851" w:type="dxa"/>
            <w:tcBorders>
              <w:top w:val="single" w:sz="4" w:space="0" w:color="auto"/>
              <w:left w:val="single" w:sz="4" w:space="0" w:color="auto"/>
              <w:bottom w:val="single" w:sz="4" w:space="0" w:color="auto"/>
              <w:right w:val="single" w:sz="4" w:space="0" w:color="auto"/>
            </w:tcBorders>
          </w:tcPr>
          <w:p w14:paraId="68167A5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7,53%</w:t>
            </w:r>
          </w:p>
        </w:tc>
        <w:tc>
          <w:tcPr>
            <w:tcW w:w="850" w:type="dxa"/>
            <w:tcBorders>
              <w:top w:val="single" w:sz="4" w:space="0" w:color="auto"/>
              <w:left w:val="single" w:sz="4" w:space="0" w:color="auto"/>
              <w:bottom w:val="single" w:sz="4" w:space="0" w:color="auto"/>
              <w:right w:val="single" w:sz="4" w:space="0" w:color="auto"/>
            </w:tcBorders>
          </w:tcPr>
          <w:p w14:paraId="415F438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9,67%</w:t>
            </w:r>
          </w:p>
        </w:tc>
        <w:tc>
          <w:tcPr>
            <w:tcW w:w="854" w:type="dxa"/>
            <w:tcBorders>
              <w:top w:val="single" w:sz="4" w:space="0" w:color="auto"/>
              <w:left w:val="single" w:sz="4" w:space="0" w:color="auto"/>
              <w:bottom w:val="single" w:sz="4" w:space="0" w:color="auto"/>
              <w:right w:val="single" w:sz="4" w:space="0" w:color="auto"/>
            </w:tcBorders>
          </w:tcPr>
          <w:p w14:paraId="7EAD69A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9,28%</w:t>
            </w:r>
          </w:p>
        </w:tc>
      </w:tr>
      <w:tr w:rsidR="00D6249E" w:rsidRPr="00D6249E" w14:paraId="31D8023E" w14:textId="77777777">
        <w:tc>
          <w:tcPr>
            <w:tcW w:w="5341" w:type="dxa"/>
            <w:tcBorders>
              <w:top w:val="single" w:sz="4" w:space="0" w:color="auto"/>
              <w:left w:val="single" w:sz="4" w:space="0" w:color="auto"/>
              <w:bottom w:val="single" w:sz="4" w:space="0" w:color="auto"/>
              <w:right w:val="single" w:sz="4" w:space="0" w:color="auto"/>
            </w:tcBorders>
          </w:tcPr>
          <w:p w14:paraId="1235B81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Maksymalna obsługa zadłużenia (wg planu po III kwartale 2020)</w:t>
            </w:r>
          </w:p>
        </w:tc>
        <w:tc>
          <w:tcPr>
            <w:tcW w:w="709" w:type="dxa"/>
            <w:tcBorders>
              <w:top w:val="single" w:sz="4" w:space="0" w:color="auto"/>
              <w:left w:val="single" w:sz="4" w:space="0" w:color="auto"/>
              <w:bottom w:val="single" w:sz="4" w:space="0" w:color="auto"/>
              <w:right w:val="single" w:sz="4" w:space="0" w:color="auto"/>
            </w:tcBorders>
          </w:tcPr>
          <w:p w14:paraId="31E44C48"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13,48%</w:t>
            </w:r>
          </w:p>
        </w:tc>
        <w:tc>
          <w:tcPr>
            <w:tcW w:w="708" w:type="dxa"/>
            <w:tcBorders>
              <w:top w:val="single" w:sz="4" w:space="0" w:color="auto"/>
              <w:left w:val="single" w:sz="4" w:space="0" w:color="auto"/>
              <w:bottom w:val="single" w:sz="4" w:space="0" w:color="auto"/>
              <w:right w:val="single" w:sz="4" w:space="0" w:color="auto"/>
            </w:tcBorders>
          </w:tcPr>
          <w:p w14:paraId="1E4F3EA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9,65%</w:t>
            </w:r>
          </w:p>
        </w:tc>
        <w:tc>
          <w:tcPr>
            <w:tcW w:w="851" w:type="dxa"/>
            <w:tcBorders>
              <w:top w:val="single" w:sz="4" w:space="0" w:color="auto"/>
              <w:left w:val="single" w:sz="4" w:space="0" w:color="auto"/>
              <w:bottom w:val="single" w:sz="4" w:space="0" w:color="auto"/>
              <w:right w:val="single" w:sz="4" w:space="0" w:color="auto"/>
            </w:tcBorders>
          </w:tcPr>
          <w:p w14:paraId="61232DA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7,92%</w:t>
            </w:r>
          </w:p>
        </w:tc>
        <w:tc>
          <w:tcPr>
            <w:tcW w:w="850" w:type="dxa"/>
            <w:tcBorders>
              <w:top w:val="single" w:sz="4" w:space="0" w:color="auto"/>
              <w:left w:val="single" w:sz="4" w:space="0" w:color="auto"/>
              <w:bottom w:val="single" w:sz="4" w:space="0" w:color="auto"/>
              <w:right w:val="single" w:sz="4" w:space="0" w:color="auto"/>
            </w:tcBorders>
          </w:tcPr>
          <w:p w14:paraId="1D9A9D0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10,86%</w:t>
            </w:r>
          </w:p>
        </w:tc>
        <w:tc>
          <w:tcPr>
            <w:tcW w:w="854" w:type="dxa"/>
            <w:tcBorders>
              <w:top w:val="single" w:sz="4" w:space="0" w:color="auto"/>
              <w:left w:val="single" w:sz="4" w:space="0" w:color="auto"/>
              <w:bottom w:val="single" w:sz="4" w:space="0" w:color="auto"/>
              <w:right w:val="single" w:sz="4" w:space="0" w:color="auto"/>
            </w:tcBorders>
          </w:tcPr>
          <w:p w14:paraId="4F880FE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13,78%</w:t>
            </w:r>
          </w:p>
        </w:tc>
      </w:tr>
      <w:tr w:rsidR="00D6249E" w:rsidRPr="00D6249E" w14:paraId="6068D87E" w14:textId="77777777">
        <w:tc>
          <w:tcPr>
            <w:tcW w:w="5341" w:type="dxa"/>
            <w:tcBorders>
              <w:top w:val="single" w:sz="4" w:space="0" w:color="auto"/>
              <w:left w:val="single" w:sz="4" w:space="0" w:color="auto"/>
              <w:bottom w:val="single" w:sz="4" w:space="0" w:color="auto"/>
              <w:right w:val="single" w:sz="4" w:space="0" w:color="auto"/>
            </w:tcBorders>
          </w:tcPr>
          <w:p w14:paraId="46DAC3C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Maksymalna obsługa zadłużenia (wg przewidywanego wykonania 2020)</w:t>
            </w:r>
          </w:p>
        </w:tc>
        <w:tc>
          <w:tcPr>
            <w:tcW w:w="709" w:type="dxa"/>
            <w:tcBorders>
              <w:top w:val="single" w:sz="4" w:space="0" w:color="auto"/>
              <w:left w:val="single" w:sz="4" w:space="0" w:color="auto"/>
              <w:bottom w:val="single" w:sz="4" w:space="0" w:color="auto"/>
              <w:right w:val="single" w:sz="4" w:space="0" w:color="auto"/>
            </w:tcBorders>
          </w:tcPr>
          <w:p w14:paraId="5194F55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13,56%</w:t>
            </w:r>
          </w:p>
        </w:tc>
        <w:tc>
          <w:tcPr>
            <w:tcW w:w="708" w:type="dxa"/>
            <w:tcBorders>
              <w:top w:val="single" w:sz="4" w:space="0" w:color="auto"/>
              <w:left w:val="single" w:sz="4" w:space="0" w:color="auto"/>
              <w:bottom w:val="single" w:sz="4" w:space="0" w:color="auto"/>
              <w:right w:val="single" w:sz="4" w:space="0" w:color="auto"/>
            </w:tcBorders>
          </w:tcPr>
          <w:p w14:paraId="5A95F5B5"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9,73%</w:t>
            </w:r>
          </w:p>
        </w:tc>
        <w:tc>
          <w:tcPr>
            <w:tcW w:w="851" w:type="dxa"/>
            <w:tcBorders>
              <w:top w:val="single" w:sz="4" w:space="0" w:color="auto"/>
              <w:left w:val="single" w:sz="4" w:space="0" w:color="auto"/>
              <w:bottom w:val="single" w:sz="4" w:space="0" w:color="auto"/>
              <w:right w:val="single" w:sz="4" w:space="0" w:color="auto"/>
            </w:tcBorders>
          </w:tcPr>
          <w:p w14:paraId="4600036F"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8,00%</w:t>
            </w:r>
          </w:p>
        </w:tc>
        <w:tc>
          <w:tcPr>
            <w:tcW w:w="850" w:type="dxa"/>
            <w:tcBorders>
              <w:top w:val="single" w:sz="4" w:space="0" w:color="auto"/>
              <w:left w:val="single" w:sz="4" w:space="0" w:color="auto"/>
              <w:bottom w:val="single" w:sz="4" w:space="0" w:color="auto"/>
              <w:right w:val="single" w:sz="4" w:space="0" w:color="auto"/>
            </w:tcBorders>
          </w:tcPr>
          <w:p w14:paraId="09909BA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10,86%</w:t>
            </w:r>
          </w:p>
        </w:tc>
        <w:tc>
          <w:tcPr>
            <w:tcW w:w="854" w:type="dxa"/>
            <w:tcBorders>
              <w:top w:val="single" w:sz="4" w:space="0" w:color="auto"/>
              <w:left w:val="single" w:sz="4" w:space="0" w:color="auto"/>
              <w:bottom w:val="single" w:sz="4" w:space="0" w:color="auto"/>
              <w:right w:val="single" w:sz="4" w:space="0" w:color="auto"/>
            </w:tcBorders>
          </w:tcPr>
          <w:p w14:paraId="0BAF555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13,78%</w:t>
            </w:r>
          </w:p>
        </w:tc>
      </w:tr>
      <w:tr w:rsidR="00D6249E" w:rsidRPr="00D6249E" w14:paraId="14B6B21C" w14:textId="77777777">
        <w:tc>
          <w:tcPr>
            <w:tcW w:w="5341" w:type="dxa"/>
            <w:tcBorders>
              <w:top w:val="single" w:sz="4" w:space="0" w:color="auto"/>
              <w:left w:val="single" w:sz="4" w:space="0" w:color="auto"/>
              <w:bottom w:val="single" w:sz="4" w:space="0" w:color="auto"/>
              <w:right w:val="single" w:sz="4" w:space="0" w:color="auto"/>
            </w:tcBorders>
            <w:shd w:val="clear" w:color="auto" w:fill="92D050"/>
          </w:tcPr>
          <w:p w14:paraId="3146525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Zachowanie relacji z art. 243 (w oparciu o przewidywane wykonanie)</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71D16AA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Tak</w:t>
            </w:r>
          </w:p>
        </w:tc>
        <w:tc>
          <w:tcPr>
            <w:tcW w:w="708" w:type="dxa"/>
            <w:tcBorders>
              <w:top w:val="single" w:sz="4" w:space="0" w:color="auto"/>
              <w:left w:val="single" w:sz="4" w:space="0" w:color="auto"/>
              <w:bottom w:val="single" w:sz="4" w:space="0" w:color="auto"/>
              <w:right w:val="single" w:sz="4" w:space="0" w:color="auto"/>
            </w:tcBorders>
            <w:shd w:val="clear" w:color="auto" w:fill="92D050"/>
          </w:tcPr>
          <w:p w14:paraId="09F6935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Tak</w:t>
            </w:r>
          </w:p>
        </w:tc>
        <w:tc>
          <w:tcPr>
            <w:tcW w:w="851" w:type="dxa"/>
            <w:tcBorders>
              <w:top w:val="single" w:sz="4" w:space="0" w:color="auto"/>
              <w:left w:val="single" w:sz="4" w:space="0" w:color="auto"/>
              <w:bottom w:val="single" w:sz="4" w:space="0" w:color="auto"/>
              <w:right w:val="single" w:sz="4" w:space="0" w:color="auto"/>
            </w:tcBorders>
            <w:shd w:val="clear" w:color="auto" w:fill="92D050"/>
          </w:tcPr>
          <w:p w14:paraId="537E58E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Tak</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31246A0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Tak</w:t>
            </w:r>
          </w:p>
        </w:tc>
        <w:tc>
          <w:tcPr>
            <w:tcW w:w="854" w:type="dxa"/>
            <w:tcBorders>
              <w:top w:val="single" w:sz="4" w:space="0" w:color="auto"/>
              <w:left w:val="single" w:sz="4" w:space="0" w:color="auto"/>
              <w:bottom w:val="single" w:sz="4" w:space="0" w:color="auto"/>
              <w:right w:val="single" w:sz="4" w:space="0" w:color="auto"/>
            </w:tcBorders>
            <w:shd w:val="clear" w:color="auto" w:fill="92D050"/>
          </w:tcPr>
          <w:p w14:paraId="5D049AE2"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Tak</w:t>
            </w:r>
          </w:p>
        </w:tc>
      </w:tr>
      <w:tr w:rsidR="00D6249E" w:rsidRPr="00D6249E" w14:paraId="728A1DCA" w14:textId="77777777">
        <w:tc>
          <w:tcPr>
            <w:tcW w:w="5341" w:type="dxa"/>
            <w:tcBorders>
              <w:top w:val="single" w:sz="4" w:space="0" w:color="auto"/>
              <w:left w:val="single" w:sz="4" w:space="0" w:color="auto"/>
              <w:bottom w:val="single" w:sz="4" w:space="0" w:color="auto"/>
              <w:right w:val="single" w:sz="4" w:space="0" w:color="auto"/>
            </w:tcBorders>
          </w:tcPr>
          <w:p w14:paraId="3FDBA620"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14:paraId="6880FE2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2026</w:t>
            </w:r>
          </w:p>
        </w:tc>
        <w:tc>
          <w:tcPr>
            <w:tcW w:w="708" w:type="dxa"/>
            <w:tcBorders>
              <w:top w:val="single" w:sz="4" w:space="0" w:color="auto"/>
              <w:left w:val="single" w:sz="4" w:space="0" w:color="auto"/>
              <w:bottom w:val="single" w:sz="4" w:space="0" w:color="auto"/>
              <w:right w:val="single" w:sz="4" w:space="0" w:color="auto"/>
            </w:tcBorders>
            <w:vAlign w:val="bottom"/>
          </w:tcPr>
          <w:p w14:paraId="37A3FB6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2027</w:t>
            </w:r>
          </w:p>
        </w:tc>
        <w:tc>
          <w:tcPr>
            <w:tcW w:w="851" w:type="dxa"/>
            <w:tcBorders>
              <w:top w:val="single" w:sz="4" w:space="0" w:color="auto"/>
              <w:left w:val="single" w:sz="4" w:space="0" w:color="auto"/>
              <w:bottom w:val="single" w:sz="4" w:space="0" w:color="auto"/>
              <w:right w:val="single" w:sz="4" w:space="0" w:color="auto"/>
            </w:tcBorders>
            <w:vAlign w:val="bottom"/>
          </w:tcPr>
          <w:p w14:paraId="28F0B6AD"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2028</w:t>
            </w:r>
          </w:p>
        </w:tc>
        <w:tc>
          <w:tcPr>
            <w:tcW w:w="850" w:type="dxa"/>
            <w:tcBorders>
              <w:top w:val="single" w:sz="4" w:space="0" w:color="auto"/>
              <w:left w:val="single" w:sz="4" w:space="0" w:color="auto"/>
              <w:bottom w:val="single" w:sz="4" w:space="0" w:color="auto"/>
              <w:right w:val="single" w:sz="4" w:space="0" w:color="auto"/>
            </w:tcBorders>
            <w:vAlign w:val="bottom"/>
          </w:tcPr>
          <w:p w14:paraId="359CC1E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eastAsiaTheme="minorHAnsi"/>
                <w:sz w:val="22"/>
                <w:szCs w:val="22"/>
                <w:lang w:eastAsia="en-US"/>
              </w:rPr>
            </w:pPr>
            <w:r w:rsidRPr="00D6249E">
              <w:rPr>
                <w:rFonts w:eastAsiaTheme="minorHAnsi"/>
                <w:b/>
                <w:bCs/>
                <w:sz w:val="22"/>
                <w:szCs w:val="22"/>
                <w:lang w:eastAsia="en-US"/>
              </w:rPr>
              <w:t>2029</w:t>
            </w:r>
          </w:p>
        </w:tc>
        <w:tc>
          <w:tcPr>
            <w:tcW w:w="854" w:type="dxa"/>
            <w:tcBorders>
              <w:top w:val="single" w:sz="4" w:space="0" w:color="auto"/>
              <w:left w:val="single" w:sz="4" w:space="0" w:color="auto"/>
              <w:bottom w:val="single" w:sz="4" w:space="0" w:color="auto"/>
              <w:right w:val="single" w:sz="4" w:space="0" w:color="auto"/>
            </w:tcBorders>
          </w:tcPr>
          <w:p w14:paraId="59C8419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p>
        </w:tc>
      </w:tr>
      <w:tr w:rsidR="00D6249E" w:rsidRPr="00D6249E" w14:paraId="1348826E" w14:textId="77777777">
        <w:tc>
          <w:tcPr>
            <w:tcW w:w="5341" w:type="dxa"/>
            <w:tcBorders>
              <w:top w:val="single" w:sz="4" w:space="0" w:color="auto"/>
              <w:left w:val="single" w:sz="4" w:space="0" w:color="auto"/>
              <w:bottom w:val="single" w:sz="4" w:space="0" w:color="auto"/>
              <w:right w:val="single" w:sz="4" w:space="0" w:color="auto"/>
            </w:tcBorders>
          </w:tcPr>
          <w:p w14:paraId="37A5D4F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 xml:space="preserve">Obsługa zadłużenia (fakt. i plan. po </w:t>
            </w:r>
            <w:proofErr w:type="spellStart"/>
            <w:r w:rsidRPr="00D6249E">
              <w:rPr>
                <w:rFonts w:eastAsiaTheme="minorHAnsi"/>
                <w:b/>
                <w:bCs/>
                <w:sz w:val="22"/>
                <w:szCs w:val="22"/>
                <w:lang w:eastAsia="en-US"/>
              </w:rPr>
              <w:t>wyłączeniach</w:t>
            </w:r>
            <w:proofErr w:type="spellEnd"/>
            <w:r w:rsidRPr="00D6249E">
              <w:rPr>
                <w:rFonts w:eastAsiaTheme="minorHAnsi"/>
                <w:b/>
                <w:bCs/>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6FE7772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7,25%</w:t>
            </w:r>
          </w:p>
        </w:tc>
        <w:tc>
          <w:tcPr>
            <w:tcW w:w="708" w:type="dxa"/>
            <w:tcBorders>
              <w:top w:val="single" w:sz="4" w:space="0" w:color="auto"/>
              <w:left w:val="single" w:sz="4" w:space="0" w:color="auto"/>
              <w:bottom w:val="single" w:sz="4" w:space="0" w:color="auto"/>
              <w:right w:val="single" w:sz="4" w:space="0" w:color="auto"/>
            </w:tcBorders>
          </w:tcPr>
          <w:p w14:paraId="1DD3A75B"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4,72%</w:t>
            </w:r>
          </w:p>
        </w:tc>
        <w:tc>
          <w:tcPr>
            <w:tcW w:w="851" w:type="dxa"/>
            <w:tcBorders>
              <w:top w:val="single" w:sz="4" w:space="0" w:color="auto"/>
              <w:left w:val="single" w:sz="4" w:space="0" w:color="auto"/>
              <w:bottom w:val="single" w:sz="4" w:space="0" w:color="auto"/>
              <w:right w:val="single" w:sz="4" w:space="0" w:color="auto"/>
            </w:tcBorders>
          </w:tcPr>
          <w:p w14:paraId="5BC815E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3,68%</w:t>
            </w:r>
          </w:p>
        </w:tc>
        <w:tc>
          <w:tcPr>
            <w:tcW w:w="850" w:type="dxa"/>
            <w:tcBorders>
              <w:top w:val="single" w:sz="4" w:space="0" w:color="auto"/>
              <w:left w:val="single" w:sz="4" w:space="0" w:color="auto"/>
              <w:bottom w:val="single" w:sz="4" w:space="0" w:color="auto"/>
              <w:right w:val="single" w:sz="4" w:space="0" w:color="auto"/>
            </w:tcBorders>
          </w:tcPr>
          <w:p w14:paraId="25FD934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3,52%</w:t>
            </w:r>
          </w:p>
        </w:tc>
        <w:tc>
          <w:tcPr>
            <w:tcW w:w="854" w:type="dxa"/>
            <w:tcBorders>
              <w:top w:val="single" w:sz="4" w:space="0" w:color="auto"/>
              <w:left w:val="single" w:sz="4" w:space="0" w:color="auto"/>
              <w:bottom w:val="single" w:sz="4" w:space="0" w:color="auto"/>
              <w:right w:val="single" w:sz="4" w:space="0" w:color="auto"/>
            </w:tcBorders>
          </w:tcPr>
          <w:p w14:paraId="0C0768B4"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p>
        </w:tc>
      </w:tr>
      <w:tr w:rsidR="00D6249E" w:rsidRPr="00D6249E" w14:paraId="5D53D8E6" w14:textId="77777777">
        <w:tc>
          <w:tcPr>
            <w:tcW w:w="5341" w:type="dxa"/>
            <w:tcBorders>
              <w:top w:val="single" w:sz="4" w:space="0" w:color="auto"/>
              <w:left w:val="single" w:sz="4" w:space="0" w:color="auto"/>
              <w:bottom w:val="single" w:sz="4" w:space="0" w:color="auto"/>
              <w:right w:val="single" w:sz="4" w:space="0" w:color="auto"/>
            </w:tcBorders>
          </w:tcPr>
          <w:p w14:paraId="5FC082E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Maksymalna obsługa zadłużenia (wg planu po III kwartale 2020)</w:t>
            </w:r>
          </w:p>
        </w:tc>
        <w:tc>
          <w:tcPr>
            <w:tcW w:w="709" w:type="dxa"/>
            <w:tcBorders>
              <w:top w:val="single" w:sz="4" w:space="0" w:color="auto"/>
              <w:left w:val="single" w:sz="4" w:space="0" w:color="auto"/>
              <w:bottom w:val="single" w:sz="4" w:space="0" w:color="auto"/>
              <w:right w:val="single" w:sz="4" w:space="0" w:color="auto"/>
            </w:tcBorders>
          </w:tcPr>
          <w:p w14:paraId="776B136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12,35%</w:t>
            </w:r>
          </w:p>
        </w:tc>
        <w:tc>
          <w:tcPr>
            <w:tcW w:w="708" w:type="dxa"/>
            <w:tcBorders>
              <w:top w:val="single" w:sz="4" w:space="0" w:color="auto"/>
              <w:left w:val="single" w:sz="4" w:space="0" w:color="auto"/>
              <w:bottom w:val="single" w:sz="4" w:space="0" w:color="auto"/>
              <w:right w:val="single" w:sz="4" w:space="0" w:color="auto"/>
            </w:tcBorders>
          </w:tcPr>
          <w:p w14:paraId="61D3A8A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12,66%</w:t>
            </w:r>
          </w:p>
        </w:tc>
        <w:tc>
          <w:tcPr>
            <w:tcW w:w="851" w:type="dxa"/>
            <w:tcBorders>
              <w:top w:val="single" w:sz="4" w:space="0" w:color="auto"/>
              <w:left w:val="single" w:sz="4" w:space="0" w:color="auto"/>
              <w:bottom w:val="single" w:sz="4" w:space="0" w:color="auto"/>
              <w:right w:val="single" w:sz="4" w:space="0" w:color="auto"/>
            </w:tcBorders>
          </w:tcPr>
          <w:p w14:paraId="0FF94FC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14,69%</w:t>
            </w:r>
          </w:p>
        </w:tc>
        <w:tc>
          <w:tcPr>
            <w:tcW w:w="850" w:type="dxa"/>
            <w:tcBorders>
              <w:top w:val="single" w:sz="4" w:space="0" w:color="auto"/>
              <w:left w:val="single" w:sz="4" w:space="0" w:color="auto"/>
              <w:bottom w:val="single" w:sz="4" w:space="0" w:color="auto"/>
              <w:right w:val="single" w:sz="4" w:space="0" w:color="auto"/>
            </w:tcBorders>
          </w:tcPr>
          <w:p w14:paraId="6A775C7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16,46%</w:t>
            </w:r>
          </w:p>
        </w:tc>
        <w:tc>
          <w:tcPr>
            <w:tcW w:w="854" w:type="dxa"/>
            <w:tcBorders>
              <w:top w:val="single" w:sz="4" w:space="0" w:color="auto"/>
              <w:left w:val="single" w:sz="4" w:space="0" w:color="auto"/>
              <w:bottom w:val="single" w:sz="4" w:space="0" w:color="auto"/>
              <w:right w:val="single" w:sz="4" w:space="0" w:color="auto"/>
            </w:tcBorders>
          </w:tcPr>
          <w:p w14:paraId="002317C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p>
        </w:tc>
      </w:tr>
      <w:tr w:rsidR="00D6249E" w:rsidRPr="00D6249E" w14:paraId="56F2B537" w14:textId="77777777">
        <w:tc>
          <w:tcPr>
            <w:tcW w:w="5341" w:type="dxa"/>
            <w:tcBorders>
              <w:top w:val="single" w:sz="4" w:space="0" w:color="auto"/>
              <w:left w:val="single" w:sz="4" w:space="0" w:color="auto"/>
              <w:bottom w:val="single" w:sz="4" w:space="0" w:color="auto"/>
              <w:right w:val="single" w:sz="4" w:space="0" w:color="auto"/>
            </w:tcBorders>
          </w:tcPr>
          <w:p w14:paraId="74B4E4D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Maksymalna obsługa zadłużenia (wg przewidywanego wykonania 2020)</w:t>
            </w:r>
          </w:p>
        </w:tc>
        <w:tc>
          <w:tcPr>
            <w:tcW w:w="709" w:type="dxa"/>
            <w:tcBorders>
              <w:top w:val="single" w:sz="4" w:space="0" w:color="auto"/>
              <w:left w:val="single" w:sz="4" w:space="0" w:color="auto"/>
              <w:bottom w:val="single" w:sz="4" w:space="0" w:color="auto"/>
              <w:right w:val="single" w:sz="4" w:space="0" w:color="auto"/>
            </w:tcBorders>
          </w:tcPr>
          <w:p w14:paraId="5ABB186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12,38%</w:t>
            </w:r>
          </w:p>
        </w:tc>
        <w:tc>
          <w:tcPr>
            <w:tcW w:w="708" w:type="dxa"/>
            <w:tcBorders>
              <w:top w:val="single" w:sz="4" w:space="0" w:color="auto"/>
              <w:left w:val="single" w:sz="4" w:space="0" w:color="auto"/>
              <w:bottom w:val="single" w:sz="4" w:space="0" w:color="auto"/>
              <w:right w:val="single" w:sz="4" w:space="0" w:color="auto"/>
            </w:tcBorders>
          </w:tcPr>
          <w:p w14:paraId="56A4895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12,69%</w:t>
            </w:r>
          </w:p>
        </w:tc>
        <w:tc>
          <w:tcPr>
            <w:tcW w:w="851" w:type="dxa"/>
            <w:tcBorders>
              <w:top w:val="single" w:sz="4" w:space="0" w:color="auto"/>
              <w:left w:val="single" w:sz="4" w:space="0" w:color="auto"/>
              <w:bottom w:val="single" w:sz="4" w:space="0" w:color="auto"/>
              <w:right w:val="single" w:sz="4" w:space="0" w:color="auto"/>
            </w:tcBorders>
          </w:tcPr>
          <w:p w14:paraId="013527CC"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14,69%</w:t>
            </w:r>
          </w:p>
        </w:tc>
        <w:tc>
          <w:tcPr>
            <w:tcW w:w="850" w:type="dxa"/>
            <w:tcBorders>
              <w:top w:val="single" w:sz="4" w:space="0" w:color="auto"/>
              <w:left w:val="single" w:sz="4" w:space="0" w:color="auto"/>
              <w:bottom w:val="single" w:sz="4" w:space="0" w:color="auto"/>
              <w:right w:val="single" w:sz="4" w:space="0" w:color="auto"/>
            </w:tcBorders>
          </w:tcPr>
          <w:p w14:paraId="6F446D23"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16,46%</w:t>
            </w:r>
          </w:p>
        </w:tc>
        <w:tc>
          <w:tcPr>
            <w:tcW w:w="854" w:type="dxa"/>
            <w:tcBorders>
              <w:top w:val="single" w:sz="4" w:space="0" w:color="auto"/>
              <w:left w:val="single" w:sz="4" w:space="0" w:color="auto"/>
              <w:bottom w:val="single" w:sz="4" w:space="0" w:color="auto"/>
              <w:right w:val="single" w:sz="4" w:space="0" w:color="auto"/>
            </w:tcBorders>
          </w:tcPr>
          <w:p w14:paraId="2F1BC21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p>
        </w:tc>
      </w:tr>
      <w:tr w:rsidR="00D6249E" w:rsidRPr="00D6249E" w14:paraId="0843A649" w14:textId="77777777">
        <w:tc>
          <w:tcPr>
            <w:tcW w:w="5341" w:type="dxa"/>
            <w:tcBorders>
              <w:top w:val="single" w:sz="4" w:space="0" w:color="auto"/>
              <w:left w:val="single" w:sz="4" w:space="0" w:color="auto"/>
              <w:bottom w:val="single" w:sz="4" w:space="0" w:color="auto"/>
              <w:right w:val="single" w:sz="4" w:space="0" w:color="auto"/>
            </w:tcBorders>
            <w:shd w:val="clear" w:color="auto" w:fill="92D050"/>
          </w:tcPr>
          <w:p w14:paraId="381EE14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2"/>
                <w:szCs w:val="22"/>
                <w:lang w:eastAsia="en-US"/>
              </w:rPr>
            </w:pPr>
            <w:r w:rsidRPr="00D6249E">
              <w:rPr>
                <w:rFonts w:eastAsiaTheme="minorHAnsi"/>
                <w:b/>
                <w:bCs/>
                <w:sz w:val="22"/>
                <w:szCs w:val="22"/>
                <w:lang w:eastAsia="en-US"/>
              </w:rPr>
              <w:t>Zachowanie relacji z art. 243 (w oparciu o przewidywane wykonanie)</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13B5935A"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Tak</w:t>
            </w:r>
          </w:p>
        </w:tc>
        <w:tc>
          <w:tcPr>
            <w:tcW w:w="708" w:type="dxa"/>
            <w:tcBorders>
              <w:top w:val="single" w:sz="4" w:space="0" w:color="auto"/>
              <w:left w:val="single" w:sz="4" w:space="0" w:color="auto"/>
              <w:bottom w:val="single" w:sz="4" w:space="0" w:color="auto"/>
              <w:right w:val="single" w:sz="4" w:space="0" w:color="auto"/>
            </w:tcBorders>
            <w:shd w:val="clear" w:color="auto" w:fill="92D050"/>
          </w:tcPr>
          <w:p w14:paraId="37E29167"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Tak</w:t>
            </w:r>
          </w:p>
        </w:tc>
        <w:tc>
          <w:tcPr>
            <w:tcW w:w="851" w:type="dxa"/>
            <w:tcBorders>
              <w:top w:val="single" w:sz="4" w:space="0" w:color="auto"/>
              <w:left w:val="single" w:sz="4" w:space="0" w:color="auto"/>
              <w:bottom w:val="single" w:sz="4" w:space="0" w:color="auto"/>
              <w:right w:val="single" w:sz="4" w:space="0" w:color="auto"/>
            </w:tcBorders>
            <w:shd w:val="clear" w:color="auto" w:fill="92D050"/>
          </w:tcPr>
          <w:p w14:paraId="09F0EE9E"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Tak</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7AFEE0D6"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r w:rsidRPr="00D6249E">
              <w:rPr>
                <w:rFonts w:eastAsiaTheme="minorHAnsi"/>
                <w:sz w:val="22"/>
                <w:szCs w:val="22"/>
                <w:lang w:eastAsia="en-US"/>
              </w:rPr>
              <w:t>Tak</w:t>
            </w:r>
          </w:p>
        </w:tc>
        <w:tc>
          <w:tcPr>
            <w:tcW w:w="854" w:type="dxa"/>
            <w:tcBorders>
              <w:top w:val="single" w:sz="4" w:space="0" w:color="auto"/>
              <w:left w:val="single" w:sz="4" w:space="0" w:color="auto"/>
              <w:bottom w:val="single" w:sz="4" w:space="0" w:color="auto"/>
              <w:right w:val="single" w:sz="4" w:space="0" w:color="auto"/>
            </w:tcBorders>
          </w:tcPr>
          <w:p w14:paraId="1F046FD9"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eastAsiaTheme="minorHAnsi"/>
                <w:sz w:val="22"/>
                <w:szCs w:val="22"/>
                <w:lang w:eastAsia="en-US"/>
              </w:rPr>
            </w:pPr>
          </w:p>
        </w:tc>
      </w:tr>
    </w:tbl>
    <w:p w14:paraId="264EF8D1" w14:textId="77777777" w:rsidR="00D6249E" w:rsidRPr="00D6249E" w:rsidRDefault="00D6249E" w:rsidP="00D62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sz w:val="22"/>
          <w:szCs w:val="22"/>
          <w:lang w:eastAsia="en-US"/>
        </w:rPr>
      </w:pPr>
      <w:r w:rsidRPr="00D6249E">
        <w:rPr>
          <w:rFonts w:eastAsiaTheme="minorHAnsi"/>
          <w:sz w:val="22"/>
          <w:szCs w:val="22"/>
          <w:lang w:eastAsia="en-US"/>
        </w:rPr>
        <w:t>Źródło: Opracowanie własne.</w:t>
      </w:r>
    </w:p>
    <w:p w14:paraId="5AA38BC3" w14:textId="425EE161" w:rsidR="00501DC0" w:rsidRPr="009464FC" w:rsidRDefault="00D6249E" w:rsidP="009464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eastAsiaTheme="minorHAnsi"/>
          <w:lang w:eastAsia="en-US"/>
        </w:rPr>
      </w:pPr>
      <w:r w:rsidRPr="00D6249E">
        <w:rPr>
          <w:rFonts w:eastAsiaTheme="minorHAnsi"/>
          <w:lang w:eastAsia="en-US"/>
        </w:rPr>
        <w:t>Sytuacja Gminy Duszniki jest stabilna. W 2018 roku wysokość nadwyżki operacyjnej wynosiła prawie 4,7 mln zł, a w 2019 roku wykonano ją na poziomie 4,0 mln zł. Plan na 2020 r. przewiduje nadwyżkę na poziomie 0,9 mln zł, zaś w budżecie na 2021 r. ujęto ją na poziomie 1,6 mln zł. W latach prognozy, ze względu na podejście ostrożnościowe, zaplanowano jej średnioroczny wzrost na poziomie 700 tys. zł, co sprawia, że prognoza ta ma charakter realistyczny. Na dobrym poziomie kształtuje się również wskaźnik z art. 243 ustawy o finansach publicznych, który corocznie pozwala na zachowanie optymalnej różnicy między maksymalną a faktyczną obsługą zadłużenia. Sytuacja finansowa Gminy Duszniki jest na bieżąco monitorowana.</w:t>
      </w:r>
    </w:p>
    <w:p w14:paraId="7FAC9D48" w14:textId="77777777" w:rsidR="000A7B1F" w:rsidRPr="00D6249E" w:rsidRDefault="000A7B1F" w:rsidP="000A7B1F">
      <w:pPr>
        <w:jc w:val="both"/>
        <w:rPr>
          <w:b/>
          <w:bCs/>
          <w:sz w:val="22"/>
          <w:szCs w:val="22"/>
        </w:rPr>
      </w:pPr>
    </w:p>
    <w:p w14:paraId="1C1AC919" w14:textId="77777777" w:rsidR="000A7B1F" w:rsidRPr="00D6249E" w:rsidRDefault="000A7B1F" w:rsidP="000A7B1F">
      <w:pPr>
        <w:jc w:val="both"/>
        <w:rPr>
          <w:b/>
          <w:bCs/>
          <w:sz w:val="22"/>
          <w:szCs w:val="22"/>
        </w:rPr>
      </w:pPr>
    </w:p>
    <w:p w14:paraId="4AA173F6" w14:textId="77777777" w:rsidR="000A7B1F" w:rsidRPr="00D6249E" w:rsidRDefault="000A7B1F" w:rsidP="000A7B1F">
      <w:pPr>
        <w:jc w:val="both"/>
        <w:rPr>
          <w:b/>
          <w:bCs/>
          <w:sz w:val="22"/>
          <w:szCs w:val="22"/>
        </w:rPr>
      </w:pPr>
    </w:p>
    <w:p w14:paraId="2EEA80D4" w14:textId="77777777" w:rsidR="000A7B1F" w:rsidRPr="00D6249E" w:rsidRDefault="000A7B1F" w:rsidP="000A7B1F">
      <w:pPr>
        <w:jc w:val="both"/>
        <w:rPr>
          <w:b/>
          <w:bCs/>
          <w:sz w:val="22"/>
          <w:szCs w:val="22"/>
        </w:rPr>
      </w:pPr>
    </w:p>
    <w:p w14:paraId="57A5929A" w14:textId="77777777" w:rsidR="00A817F3" w:rsidRPr="00D6249E" w:rsidRDefault="00A817F3">
      <w:pPr>
        <w:rPr>
          <w:sz w:val="22"/>
          <w:szCs w:val="22"/>
        </w:rPr>
      </w:pPr>
    </w:p>
    <w:sectPr w:rsidR="00A817F3" w:rsidRPr="00D62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80EF018"/>
    <w:lvl w:ilvl="0">
      <w:start w:val="1"/>
      <w:numFmt w:val="decimal"/>
      <w:lvlText w:val="%1."/>
      <w:lvlJc w:val="left"/>
      <w:pPr>
        <w:ind w:left="720" w:hanging="360"/>
      </w:pPr>
      <w:rPr>
        <w:rFonts w:ascii="Times New Roman" w:hAnsi="Times New Roman" w:cs="Times New Roman" w:hint="default"/>
        <w:b w:val="0"/>
        <w:bCs w:val="0"/>
        <w:i w:val="0"/>
        <w:iCs w:val="0"/>
        <w:strike w:val="0"/>
        <w:color w:val="auto"/>
        <w:sz w:val="20"/>
        <w:szCs w:val="20"/>
        <w:u w:val="none"/>
      </w:rPr>
    </w:lvl>
    <w:lvl w:ilvl="1">
      <w:start w:val="1"/>
      <w:numFmt w:val="decimal"/>
      <w:lvlText w:val="%2)"/>
      <w:lvlJc w:val="left"/>
      <w:pPr>
        <w:ind w:left="1440" w:hanging="360"/>
      </w:pPr>
      <w:rPr>
        <w:rFonts w:ascii="Times New Roman" w:hAnsi="Times New Roman" w:cs="Times New Roman" w:hint="default"/>
        <w:b w:val="0"/>
        <w:bCs w:val="0"/>
        <w:i w:val="0"/>
        <w:iCs w:val="0"/>
        <w:strike w:val="0"/>
        <w:color w:val="auto"/>
        <w:sz w:val="20"/>
        <w:szCs w:val="20"/>
        <w:u w:val="none"/>
      </w:rPr>
    </w:lvl>
    <w:lvl w:ilvl="2">
      <w:start w:val="1"/>
      <w:numFmt w:val="decimal"/>
      <w:lvlText w:val="%3)"/>
      <w:lvlJc w:val="left"/>
      <w:pPr>
        <w:ind w:left="1800" w:hanging="360"/>
      </w:pPr>
      <w:rPr>
        <w:rFonts w:ascii="Arial" w:hAnsi="Arial" w:cs="Arial"/>
        <w:b w:val="0"/>
        <w:bCs w:val="0"/>
        <w:i w:val="0"/>
        <w:iCs w:val="0"/>
        <w:strike w:val="0"/>
        <w:color w:val="auto"/>
        <w:sz w:val="20"/>
        <w:szCs w:val="20"/>
        <w:u w:val="none"/>
      </w:rPr>
    </w:lvl>
    <w:lvl w:ilvl="3">
      <w:start w:val="1"/>
      <w:numFmt w:val="decimal"/>
      <w:lvlText w:val="%4)"/>
      <w:lvlJc w:val="left"/>
      <w:pPr>
        <w:ind w:left="2160" w:hanging="360"/>
      </w:pPr>
      <w:rPr>
        <w:rFonts w:ascii="Arial" w:hAnsi="Arial" w:cs="Arial"/>
        <w:b w:val="0"/>
        <w:bCs w:val="0"/>
        <w:i w:val="0"/>
        <w:iCs w:val="0"/>
        <w:strike w:val="0"/>
        <w:color w:val="auto"/>
        <w:sz w:val="20"/>
        <w:szCs w:val="20"/>
        <w:u w:val="none"/>
      </w:rPr>
    </w:lvl>
    <w:lvl w:ilvl="4">
      <w:start w:val="1"/>
      <w:numFmt w:val="decimal"/>
      <w:lvlText w:val="%5)"/>
      <w:lvlJc w:val="left"/>
      <w:pPr>
        <w:ind w:left="2520" w:hanging="360"/>
      </w:pPr>
      <w:rPr>
        <w:rFonts w:ascii="Arial" w:hAnsi="Arial" w:cs="Arial"/>
        <w:b w:val="0"/>
        <w:bCs w:val="0"/>
        <w:i w:val="0"/>
        <w:iCs w:val="0"/>
        <w:strike w:val="0"/>
        <w:color w:val="auto"/>
        <w:sz w:val="20"/>
        <w:szCs w:val="20"/>
        <w:u w:val="none"/>
      </w:rPr>
    </w:lvl>
    <w:lvl w:ilvl="5">
      <w:start w:val="1"/>
      <w:numFmt w:val="decimal"/>
      <w:lvlText w:val="%6)"/>
      <w:lvlJc w:val="left"/>
      <w:pPr>
        <w:ind w:left="2880" w:hanging="360"/>
      </w:pPr>
      <w:rPr>
        <w:rFonts w:ascii="Arial" w:hAnsi="Arial" w:cs="Arial"/>
        <w:b w:val="0"/>
        <w:bCs w:val="0"/>
        <w:i w:val="0"/>
        <w:iCs w:val="0"/>
        <w:strike w:val="0"/>
        <w:color w:val="auto"/>
        <w:sz w:val="20"/>
        <w:szCs w:val="20"/>
        <w:u w:val="none"/>
      </w:rPr>
    </w:lvl>
    <w:lvl w:ilvl="6">
      <w:start w:val="1"/>
      <w:numFmt w:val="decimal"/>
      <w:lvlText w:val="%7)"/>
      <w:lvlJc w:val="left"/>
      <w:pPr>
        <w:ind w:left="3240" w:hanging="360"/>
      </w:pPr>
      <w:rPr>
        <w:rFonts w:ascii="Arial" w:hAnsi="Arial" w:cs="Arial"/>
        <w:b w:val="0"/>
        <w:bCs w:val="0"/>
        <w:i w:val="0"/>
        <w:iCs w:val="0"/>
        <w:strike w:val="0"/>
        <w:color w:val="auto"/>
        <w:sz w:val="20"/>
        <w:szCs w:val="20"/>
        <w:u w:val="none"/>
      </w:rPr>
    </w:lvl>
    <w:lvl w:ilvl="7">
      <w:start w:val="1"/>
      <w:numFmt w:val="decimal"/>
      <w:lvlText w:val="%8)"/>
      <w:lvlJc w:val="left"/>
      <w:pPr>
        <w:ind w:left="3600" w:hanging="360"/>
      </w:pPr>
      <w:rPr>
        <w:rFonts w:ascii="Arial" w:hAnsi="Arial" w:cs="Arial"/>
        <w:b w:val="0"/>
        <w:bCs w:val="0"/>
        <w:i w:val="0"/>
        <w:iCs w:val="0"/>
        <w:strike w:val="0"/>
        <w:color w:val="auto"/>
        <w:sz w:val="20"/>
        <w:szCs w:val="20"/>
        <w:u w:val="none"/>
      </w:rPr>
    </w:lvl>
    <w:lvl w:ilvl="8">
      <w:start w:val="1"/>
      <w:numFmt w:val="decimal"/>
      <w:lvlText w:val="%9)"/>
      <w:lvlJc w:val="left"/>
      <w:pPr>
        <w:ind w:left="3960" w:hanging="360"/>
      </w:pPr>
      <w:rPr>
        <w:rFonts w:ascii="Arial" w:hAnsi="Arial" w:cs="Arial"/>
        <w:b w:val="0"/>
        <w:bCs w:val="0"/>
        <w:i w:val="0"/>
        <w:iCs w:val="0"/>
        <w:strike w:val="0"/>
        <w:color w:val="auto"/>
        <w:sz w:val="20"/>
        <w:szCs w:val="20"/>
        <w:u w:val="none"/>
      </w:rPr>
    </w:lvl>
  </w:abstractNum>
  <w:abstractNum w:abstractNumId="1" w15:restartNumberingAfterBreak="0">
    <w:nsid w:val="00000002"/>
    <w:multiLevelType w:val="multilevel"/>
    <w:tmpl w:val="CB7AA0AC"/>
    <w:lvl w:ilvl="0">
      <w:start w:val="1"/>
      <w:numFmt w:val="decimal"/>
      <w:lvlText w:val="%1."/>
      <w:lvlJc w:val="left"/>
      <w:pPr>
        <w:ind w:left="1080" w:hanging="360"/>
      </w:pPr>
      <w:rPr>
        <w:rFonts w:ascii="Times New Roman" w:hAnsi="Times New Roman" w:cs="Times New Roman" w:hint="default"/>
        <w:b w:val="0"/>
        <w:bCs w:val="0"/>
        <w:i w:val="0"/>
        <w:iCs w:val="0"/>
        <w:strike w:val="0"/>
        <w:color w:val="auto"/>
        <w:sz w:val="24"/>
        <w:szCs w:val="24"/>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2" w15:restartNumberingAfterBreak="0">
    <w:nsid w:val="00000003"/>
    <w:multiLevelType w:val="multilevel"/>
    <w:tmpl w:val="4DC4C682"/>
    <w:lvl w:ilvl="0">
      <w:start w:val="1"/>
      <w:numFmt w:val="decimal"/>
      <w:lvlText w:val="%1."/>
      <w:lvlJc w:val="left"/>
      <w:pPr>
        <w:ind w:left="1080" w:hanging="360"/>
      </w:pPr>
      <w:rPr>
        <w:rFonts w:ascii="Times New Roman" w:hAnsi="Times New Roman" w:cs="Times New Roman" w:hint="default"/>
        <w:b w:val="0"/>
        <w:bCs w:val="0"/>
        <w:i w:val="0"/>
        <w:iCs w:val="0"/>
        <w:strike w:val="0"/>
        <w:color w:val="auto"/>
        <w:sz w:val="24"/>
        <w:szCs w:val="24"/>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3" w15:restartNumberingAfterBreak="0">
    <w:nsid w:val="00000004"/>
    <w:multiLevelType w:val="multilevel"/>
    <w:tmpl w:val="CECAC2AC"/>
    <w:lvl w:ilvl="0">
      <w:start w:val="1"/>
      <w:numFmt w:val="decimal"/>
      <w:lvlText w:val="%1."/>
      <w:lvlJc w:val="left"/>
      <w:pPr>
        <w:ind w:left="1080" w:hanging="360"/>
      </w:pPr>
      <w:rPr>
        <w:rFonts w:ascii="Times New Roman" w:hAnsi="Times New Roman" w:cs="Times New Roman" w:hint="default"/>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4" w15:restartNumberingAfterBreak="0">
    <w:nsid w:val="00000005"/>
    <w:multiLevelType w:val="multilevel"/>
    <w:tmpl w:val="1E621F28"/>
    <w:lvl w:ilvl="0">
      <w:start w:val="1"/>
      <w:numFmt w:val="decimal"/>
      <w:lvlText w:val="%1."/>
      <w:lvlJc w:val="left"/>
      <w:pPr>
        <w:ind w:left="1080" w:hanging="360"/>
      </w:pPr>
      <w:rPr>
        <w:rFonts w:ascii="Times New Roman" w:hAnsi="Times New Roman" w:cs="Times New Roman" w:hint="default"/>
        <w:b w:val="0"/>
        <w:bCs w:val="0"/>
        <w:i w:val="0"/>
        <w:iCs w:val="0"/>
        <w:strike w:val="0"/>
        <w:color w:val="auto"/>
        <w:sz w:val="24"/>
        <w:szCs w:val="24"/>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5" w15:restartNumberingAfterBreak="0">
    <w:nsid w:val="00000006"/>
    <w:multiLevelType w:val="multilevel"/>
    <w:tmpl w:val="00000006"/>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6" w15:restartNumberingAfterBreak="0">
    <w:nsid w:val="00000007"/>
    <w:multiLevelType w:val="multilevel"/>
    <w:tmpl w:val="00000007"/>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7" w15:restartNumberingAfterBreak="0">
    <w:nsid w:val="2B162A5E"/>
    <w:multiLevelType w:val="multilevel"/>
    <w:tmpl w:val="E80EF018"/>
    <w:lvl w:ilvl="0">
      <w:start w:val="1"/>
      <w:numFmt w:val="decimal"/>
      <w:lvlText w:val="%1."/>
      <w:lvlJc w:val="left"/>
      <w:pPr>
        <w:ind w:left="720" w:hanging="360"/>
      </w:pPr>
      <w:rPr>
        <w:rFonts w:ascii="Times New Roman" w:hAnsi="Times New Roman" w:cs="Times New Roman" w:hint="default"/>
        <w:b w:val="0"/>
        <w:bCs w:val="0"/>
        <w:i w:val="0"/>
        <w:iCs w:val="0"/>
        <w:strike w:val="0"/>
        <w:color w:val="auto"/>
        <w:sz w:val="20"/>
        <w:szCs w:val="20"/>
        <w:u w:val="none"/>
      </w:rPr>
    </w:lvl>
    <w:lvl w:ilvl="1">
      <w:start w:val="1"/>
      <w:numFmt w:val="decimal"/>
      <w:lvlText w:val="%2)"/>
      <w:lvlJc w:val="left"/>
      <w:pPr>
        <w:ind w:left="1440" w:hanging="360"/>
      </w:pPr>
      <w:rPr>
        <w:rFonts w:ascii="Times New Roman" w:hAnsi="Times New Roman" w:cs="Times New Roman" w:hint="default"/>
        <w:b w:val="0"/>
        <w:bCs w:val="0"/>
        <w:i w:val="0"/>
        <w:iCs w:val="0"/>
        <w:strike w:val="0"/>
        <w:color w:val="auto"/>
        <w:sz w:val="20"/>
        <w:szCs w:val="20"/>
        <w:u w:val="none"/>
      </w:rPr>
    </w:lvl>
    <w:lvl w:ilvl="2">
      <w:start w:val="1"/>
      <w:numFmt w:val="decimal"/>
      <w:lvlText w:val="%3)"/>
      <w:lvlJc w:val="left"/>
      <w:pPr>
        <w:ind w:left="1800" w:hanging="360"/>
      </w:pPr>
      <w:rPr>
        <w:rFonts w:ascii="Arial" w:hAnsi="Arial" w:cs="Arial"/>
        <w:b w:val="0"/>
        <w:bCs w:val="0"/>
        <w:i w:val="0"/>
        <w:iCs w:val="0"/>
        <w:strike w:val="0"/>
        <w:color w:val="auto"/>
        <w:sz w:val="20"/>
        <w:szCs w:val="20"/>
        <w:u w:val="none"/>
      </w:rPr>
    </w:lvl>
    <w:lvl w:ilvl="3">
      <w:start w:val="1"/>
      <w:numFmt w:val="decimal"/>
      <w:lvlText w:val="%4)"/>
      <w:lvlJc w:val="left"/>
      <w:pPr>
        <w:ind w:left="2160" w:hanging="360"/>
      </w:pPr>
      <w:rPr>
        <w:rFonts w:ascii="Arial" w:hAnsi="Arial" w:cs="Arial"/>
        <w:b w:val="0"/>
        <w:bCs w:val="0"/>
        <w:i w:val="0"/>
        <w:iCs w:val="0"/>
        <w:strike w:val="0"/>
        <w:color w:val="auto"/>
        <w:sz w:val="20"/>
        <w:szCs w:val="20"/>
        <w:u w:val="none"/>
      </w:rPr>
    </w:lvl>
    <w:lvl w:ilvl="4">
      <w:start w:val="1"/>
      <w:numFmt w:val="decimal"/>
      <w:lvlText w:val="%5)"/>
      <w:lvlJc w:val="left"/>
      <w:pPr>
        <w:ind w:left="2520" w:hanging="360"/>
      </w:pPr>
      <w:rPr>
        <w:rFonts w:ascii="Arial" w:hAnsi="Arial" w:cs="Arial"/>
        <w:b w:val="0"/>
        <w:bCs w:val="0"/>
        <w:i w:val="0"/>
        <w:iCs w:val="0"/>
        <w:strike w:val="0"/>
        <w:color w:val="auto"/>
        <w:sz w:val="20"/>
        <w:szCs w:val="20"/>
        <w:u w:val="none"/>
      </w:rPr>
    </w:lvl>
    <w:lvl w:ilvl="5">
      <w:start w:val="1"/>
      <w:numFmt w:val="decimal"/>
      <w:lvlText w:val="%6)"/>
      <w:lvlJc w:val="left"/>
      <w:pPr>
        <w:ind w:left="2880" w:hanging="360"/>
      </w:pPr>
      <w:rPr>
        <w:rFonts w:ascii="Arial" w:hAnsi="Arial" w:cs="Arial"/>
        <w:b w:val="0"/>
        <w:bCs w:val="0"/>
        <w:i w:val="0"/>
        <w:iCs w:val="0"/>
        <w:strike w:val="0"/>
        <w:color w:val="auto"/>
        <w:sz w:val="20"/>
        <w:szCs w:val="20"/>
        <w:u w:val="none"/>
      </w:rPr>
    </w:lvl>
    <w:lvl w:ilvl="6">
      <w:start w:val="1"/>
      <w:numFmt w:val="decimal"/>
      <w:lvlText w:val="%7)"/>
      <w:lvlJc w:val="left"/>
      <w:pPr>
        <w:ind w:left="3240" w:hanging="360"/>
      </w:pPr>
      <w:rPr>
        <w:rFonts w:ascii="Arial" w:hAnsi="Arial" w:cs="Arial"/>
        <w:b w:val="0"/>
        <w:bCs w:val="0"/>
        <w:i w:val="0"/>
        <w:iCs w:val="0"/>
        <w:strike w:val="0"/>
        <w:color w:val="auto"/>
        <w:sz w:val="20"/>
        <w:szCs w:val="20"/>
        <w:u w:val="none"/>
      </w:rPr>
    </w:lvl>
    <w:lvl w:ilvl="7">
      <w:start w:val="1"/>
      <w:numFmt w:val="decimal"/>
      <w:lvlText w:val="%8)"/>
      <w:lvlJc w:val="left"/>
      <w:pPr>
        <w:ind w:left="3600" w:hanging="360"/>
      </w:pPr>
      <w:rPr>
        <w:rFonts w:ascii="Arial" w:hAnsi="Arial" w:cs="Arial"/>
        <w:b w:val="0"/>
        <w:bCs w:val="0"/>
        <w:i w:val="0"/>
        <w:iCs w:val="0"/>
        <w:strike w:val="0"/>
        <w:color w:val="auto"/>
        <w:sz w:val="20"/>
        <w:szCs w:val="20"/>
        <w:u w:val="none"/>
      </w:rPr>
    </w:lvl>
    <w:lvl w:ilvl="8">
      <w:start w:val="1"/>
      <w:numFmt w:val="decimal"/>
      <w:lvlText w:val="%9)"/>
      <w:lvlJc w:val="left"/>
      <w:pPr>
        <w:ind w:left="3960" w:hanging="360"/>
      </w:pPr>
      <w:rPr>
        <w:rFonts w:ascii="Arial" w:hAnsi="Arial" w:cs="Arial"/>
        <w:b w:val="0"/>
        <w:bCs w:val="0"/>
        <w:i w:val="0"/>
        <w:iCs w:val="0"/>
        <w:strike w:val="0"/>
        <w:color w:val="auto"/>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1F"/>
    <w:rsid w:val="000A7B1F"/>
    <w:rsid w:val="0042498F"/>
    <w:rsid w:val="00501DC0"/>
    <w:rsid w:val="00520428"/>
    <w:rsid w:val="0072371A"/>
    <w:rsid w:val="008D185D"/>
    <w:rsid w:val="009464FC"/>
    <w:rsid w:val="00A817F3"/>
    <w:rsid w:val="00D6249E"/>
    <w:rsid w:val="00F06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3279"/>
  <w15:chartTrackingRefBased/>
  <w15:docId w15:val="{03027587-8429-4619-8C06-8FBB3970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7B1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A7B1F"/>
    <w:pPr>
      <w:jc w:val="both"/>
    </w:pPr>
  </w:style>
  <w:style w:type="character" w:customStyle="1" w:styleId="TekstpodstawowyZnak">
    <w:name w:val="Tekst podstawowy Znak"/>
    <w:basedOn w:val="Domylnaczcionkaakapitu"/>
    <w:link w:val="Tekstpodstawowy"/>
    <w:semiHidden/>
    <w:rsid w:val="000A7B1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0A7B1F"/>
    <w:pPr>
      <w:ind w:left="1260" w:hanging="1260"/>
      <w:jc w:val="both"/>
    </w:pPr>
  </w:style>
  <w:style w:type="character" w:customStyle="1" w:styleId="TekstpodstawowywcityZnak">
    <w:name w:val="Tekst podstawowy wcięty Znak"/>
    <w:basedOn w:val="Domylnaczcionkaakapitu"/>
    <w:link w:val="Tekstpodstawowywcity"/>
    <w:semiHidden/>
    <w:rsid w:val="000A7B1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204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042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3473</Words>
  <Characters>20838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Kaczmarczyk</dc:creator>
  <cp:keywords/>
  <dc:description/>
  <cp:lastModifiedBy>Biuro Obsługi Interesanta</cp:lastModifiedBy>
  <cp:revision>2</cp:revision>
  <cp:lastPrinted>2020-11-16T13:28:00Z</cp:lastPrinted>
  <dcterms:created xsi:type="dcterms:W3CDTF">2020-12-17T13:36:00Z</dcterms:created>
  <dcterms:modified xsi:type="dcterms:W3CDTF">2020-12-17T13:36:00Z</dcterms:modified>
</cp:coreProperties>
</file>